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90B80" w14:textId="1E3851C5" w:rsidR="00D66A64" w:rsidRPr="00560FDF" w:rsidRDefault="005E7CB0" w:rsidP="00560FDF">
      <w:pPr>
        <w:spacing w:before="720" w:after="480"/>
        <w:jc w:val="center"/>
      </w:pPr>
      <w:bookmarkStart w:id="0" w:name="_Hlk27058546"/>
      <w:bookmarkEnd w:id="0"/>
      <w:permStart w:id="307125537" w:edGrp="everyone"/>
      <w:r w:rsidRPr="005268F8">
        <w:rPr>
          <w:strike/>
          <w:noProof/>
        </w:rPr>
        <w:drawing>
          <wp:anchor distT="0" distB="0" distL="0" distR="0" simplePos="0" relativeHeight="251659264" behindDoc="0" locked="0" layoutInCell="1" allowOverlap="1" wp14:anchorId="63A21655" wp14:editId="5C3FB7A2">
            <wp:simplePos x="0" y="0"/>
            <wp:positionH relativeFrom="margin">
              <wp:align>left</wp:align>
            </wp:positionH>
            <wp:positionV relativeFrom="paragraph">
              <wp:posOffset>142240</wp:posOffset>
            </wp:positionV>
            <wp:extent cx="5993806" cy="1546478"/>
            <wp:effectExtent l="0" t="0" r="6985"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993806" cy="1546478"/>
                    </a:xfrm>
                    <a:prstGeom prst="rect">
                      <a:avLst/>
                    </a:prstGeom>
                  </pic:spPr>
                </pic:pic>
              </a:graphicData>
            </a:graphic>
          </wp:anchor>
        </w:drawing>
      </w:r>
      <w:permEnd w:id="307125537"/>
      <w:r w:rsidR="00D66A64" w:rsidRPr="00D66A64">
        <w:rPr>
          <w:rFonts w:ascii="Calibri"/>
          <w:b/>
          <w:sz w:val="48"/>
        </w:rPr>
        <w:t>Workforce Innovation and Opportunity Act</w:t>
      </w:r>
    </w:p>
    <w:p w14:paraId="2E1B2A1B" w14:textId="77777777" w:rsidR="00D66A64" w:rsidRPr="00D66A64" w:rsidRDefault="00F95423" w:rsidP="00560FDF">
      <w:pPr>
        <w:pStyle w:val="Title"/>
        <w:spacing w:before="720" w:after="720"/>
        <w:jc w:val="center"/>
        <w:rPr>
          <w:b w:val="0"/>
        </w:rPr>
      </w:pPr>
      <w:r>
        <w:t>Adult</w:t>
      </w:r>
      <w:r w:rsidR="004A0FE1">
        <w:t xml:space="preserve"> and </w:t>
      </w:r>
      <w:r>
        <w:t>Dislocated Worker</w:t>
      </w:r>
    </w:p>
    <w:p w14:paraId="632B2A58" w14:textId="77777777" w:rsidR="00D66A64" w:rsidRPr="00D66A64" w:rsidRDefault="00D66A64" w:rsidP="00560FDF">
      <w:pPr>
        <w:widowControl w:val="0"/>
        <w:autoSpaceDE w:val="0"/>
        <w:autoSpaceDN w:val="0"/>
        <w:spacing w:after="480" w:line="585" w:lineRule="exact"/>
        <w:ind w:left="2606"/>
        <w:outlineLvl w:val="0"/>
        <w:rPr>
          <w:rFonts w:ascii="Calibri" w:eastAsia="Calibri" w:hAnsi="Calibri" w:cs="Calibri"/>
          <w:b/>
          <w:bCs/>
          <w:sz w:val="48"/>
          <w:szCs w:val="48"/>
        </w:rPr>
      </w:pPr>
      <w:r w:rsidRPr="00D66A64">
        <w:rPr>
          <w:rFonts w:ascii="Calibri" w:eastAsia="Calibri" w:hAnsi="Calibri" w:cs="Calibri"/>
          <w:b/>
          <w:bCs/>
          <w:sz w:val="48"/>
          <w:szCs w:val="48"/>
        </w:rPr>
        <w:t>Policy and Procedures</w:t>
      </w:r>
    </w:p>
    <w:p w14:paraId="01625919" w14:textId="2D21926A" w:rsidR="00FD2C21" w:rsidRDefault="00D66A64" w:rsidP="00560FDF">
      <w:pPr>
        <w:spacing w:after="360"/>
        <w:jc w:val="both"/>
      </w:pPr>
      <w:bookmarkStart w:id="1" w:name="_Hlk526835631"/>
      <w:r w:rsidRPr="00D66A64">
        <w:t>No individual in the United States may, on the basis of race, color, religion, sex, national origin, age,</w:t>
      </w:r>
      <w:hyperlink r:id="rId9">
        <w:r w:rsidRPr="00D66A64">
          <w:t xml:space="preserve"> disability, </w:t>
        </w:r>
      </w:hyperlink>
      <w:r w:rsidRPr="00D66A64">
        <w:t>or political affiliation or belief, or, for beneficiaries, applicants, and participants only, on the basis of citizenship or participation in any WIOA Title I-financially assisted program or activity, be excluded from participation in, denied the benefits of, subjected to discrimination under, or denied employment in the administration of or in connection with any WIOA Title I-financially assisted program or activity.</w:t>
      </w:r>
      <w:bookmarkEnd w:id="1"/>
    </w:p>
    <w:p w14:paraId="698BF924" w14:textId="6EDF2383" w:rsidR="00D66A64" w:rsidRPr="00D66A64" w:rsidRDefault="00D66A64" w:rsidP="00560FDF">
      <w:pPr>
        <w:spacing w:after="360"/>
        <w:jc w:val="both"/>
      </w:pPr>
      <w:r w:rsidRPr="00D66A64">
        <w:rPr>
          <w:noProof/>
        </w:rPr>
        <w:drawing>
          <wp:anchor distT="0" distB="0" distL="0" distR="0" simplePos="0" relativeHeight="251661312" behindDoc="0" locked="0" layoutInCell="1" allowOverlap="1" wp14:anchorId="1374AC41" wp14:editId="7E00EA63">
            <wp:simplePos x="0" y="0"/>
            <wp:positionH relativeFrom="margin">
              <wp:posOffset>1473835</wp:posOffset>
            </wp:positionH>
            <wp:positionV relativeFrom="paragraph">
              <wp:posOffset>294640</wp:posOffset>
            </wp:positionV>
            <wp:extent cx="2996524" cy="597407"/>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2996524" cy="597407"/>
                    </a:xfrm>
                    <a:prstGeom prst="rect">
                      <a:avLst/>
                    </a:prstGeom>
                  </pic:spPr>
                </pic:pic>
              </a:graphicData>
            </a:graphic>
          </wp:anchor>
        </w:drawing>
      </w:r>
    </w:p>
    <w:p w14:paraId="24A2FA51" w14:textId="77777777" w:rsidR="00F95423" w:rsidRDefault="00F95423" w:rsidP="00560FDF">
      <w:pPr>
        <w:spacing w:after="240"/>
        <w:jc w:val="center"/>
      </w:pPr>
    </w:p>
    <w:p w14:paraId="23E52629" w14:textId="038BA6DB" w:rsidR="00FD2C21" w:rsidRPr="009141D7" w:rsidRDefault="00D66A64" w:rsidP="009141D7">
      <w:pPr>
        <w:pStyle w:val="NoSpacing"/>
        <w:jc w:val="center"/>
      </w:pPr>
      <w:bookmarkStart w:id="2" w:name="_Hlk526835712"/>
      <w:r w:rsidRPr="009141D7">
        <w:t>Equal opportunity employment/program.</w:t>
      </w:r>
    </w:p>
    <w:p w14:paraId="26CDBB2D" w14:textId="77777777" w:rsidR="009141D7" w:rsidRDefault="00D66A64" w:rsidP="009141D7">
      <w:pPr>
        <w:pStyle w:val="NoSpacing"/>
        <w:spacing w:after="360"/>
        <w:jc w:val="center"/>
        <w:sectPr w:rsidR="009141D7" w:rsidSect="002C3774">
          <w:headerReference w:type="default" r:id="rId11"/>
          <w:footerReference w:type="default" r:id="rId12"/>
          <w:headerReference w:type="first" r:id="rId13"/>
          <w:footerReference w:type="first" r:id="rId14"/>
          <w:pgSz w:w="12240" w:h="15840"/>
          <w:pgMar w:top="1440" w:right="1440" w:bottom="1440" w:left="1440" w:header="432" w:footer="144" w:gutter="0"/>
          <w:cols w:space="720"/>
          <w:titlePg/>
          <w:docGrid w:linePitch="360"/>
        </w:sectPr>
      </w:pPr>
      <w:r w:rsidRPr="009141D7">
        <w:t>Auxiliary aids and services are available upon request to individuals with disabilities.</w:t>
      </w:r>
    </w:p>
    <w:bookmarkEnd w:id="2"/>
    <w:p w14:paraId="796D486C" w14:textId="566131C6" w:rsidR="008F0AC5" w:rsidRPr="009141D7" w:rsidRDefault="004A0FE1" w:rsidP="009141D7">
      <w:pPr>
        <w:pStyle w:val="Title"/>
        <w:jc w:val="center"/>
        <w:rPr>
          <w:sz w:val="28"/>
        </w:rPr>
      </w:pPr>
      <w:r w:rsidRPr="009141D7">
        <w:rPr>
          <w:sz w:val="28"/>
        </w:rPr>
        <w:lastRenderedPageBreak/>
        <w:t>Adult and Dislocated Worker</w:t>
      </w:r>
    </w:p>
    <w:p w14:paraId="321E3ECD" w14:textId="70805530" w:rsidR="00032C69" w:rsidRPr="008F0AC5" w:rsidRDefault="00032C69" w:rsidP="00560FDF">
      <w:pPr>
        <w:pStyle w:val="Heading1"/>
        <w:numPr>
          <w:ilvl w:val="0"/>
          <w:numId w:val="0"/>
        </w:numPr>
        <w:rPr>
          <w:b w:val="0"/>
          <w:sz w:val="31"/>
          <w:szCs w:val="31"/>
        </w:rPr>
      </w:pPr>
      <w:r w:rsidRPr="00C11834">
        <w:t>I.  PURPOSE</w:t>
      </w:r>
    </w:p>
    <w:p w14:paraId="52B6330D" w14:textId="77777777" w:rsidR="009141D7" w:rsidRDefault="00961FF1" w:rsidP="00E007ED">
      <w:pPr>
        <w:jc w:val="both"/>
        <w:rPr>
          <w:color w:val="FF0000"/>
        </w:rPr>
      </w:pPr>
      <w:r w:rsidRPr="00C11834">
        <w:t>The purpose of t</w:t>
      </w:r>
      <w:r w:rsidR="00FF56A6" w:rsidRPr="00C11834">
        <w:t xml:space="preserve">his policy </w:t>
      </w:r>
      <w:r w:rsidRPr="00C11834">
        <w:t xml:space="preserve">is to </w:t>
      </w:r>
      <w:r w:rsidR="00557123" w:rsidRPr="00C11834">
        <w:rPr>
          <w:rFonts w:eastAsia="Calibri"/>
        </w:rPr>
        <w:t xml:space="preserve">provide </w:t>
      </w:r>
      <w:r w:rsidR="00557123" w:rsidRPr="00C11834">
        <w:t>guidance to the workforce system on delivering services under the W</w:t>
      </w:r>
      <w:r w:rsidR="00287554">
        <w:t>orkforce Innovation and Opportunity Act (W</w:t>
      </w:r>
      <w:r w:rsidR="00557123" w:rsidRPr="00C11834">
        <w:t>IOA</w:t>
      </w:r>
      <w:r w:rsidR="00287554">
        <w:t>)</w:t>
      </w:r>
      <w:r w:rsidR="00557123" w:rsidRPr="00C11834">
        <w:t xml:space="preserve"> Title I Adult and Dislocated Worker </w:t>
      </w:r>
      <w:r w:rsidRPr="00C11834">
        <w:t xml:space="preserve">(DLW) </w:t>
      </w:r>
      <w:r w:rsidR="00557123" w:rsidRPr="00C11834">
        <w:t>programs and individuals served by the Wagner-</w:t>
      </w:r>
      <w:proofErr w:type="spellStart"/>
      <w:r w:rsidR="00557123" w:rsidRPr="00C11834">
        <w:t>Peyser</w:t>
      </w:r>
      <w:proofErr w:type="spellEnd"/>
      <w:r w:rsidR="00557123" w:rsidRPr="00C11834">
        <w:t xml:space="preserve"> Act Employment Service (ES) program, as amended by WIOA Title III, under the WIOA Final Rule</w:t>
      </w:r>
      <w:r w:rsidR="00557123" w:rsidRPr="00247B18">
        <w:t>.</w:t>
      </w:r>
      <w:r w:rsidR="00247B18">
        <w:t xml:space="preserve"> </w:t>
      </w:r>
      <w:r w:rsidR="00557123" w:rsidRPr="005268F8">
        <w:t xml:space="preserve">This </w:t>
      </w:r>
      <w:r w:rsidR="00641E59" w:rsidRPr="005268F8">
        <w:t xml:space="preserve">policy </w:t>
      </w:r>
      <w:r w:rsidR="00557123" w:rsidRPr="005268F8">
        <w:t xml:space="preserve">clarifies that coordination of training funds from other grant sources, including </w:t>
      </w:r>
      <w:r w:rsidR="00557123" w:rsidRPr="001676AD">
        <w:rPr>
          <w:u w:val="single"/>
        </w:rPr>
        <w:t xml:space="preserve">Federal Pell grants and all other types of grant assistance for education and training services, is required. </w:t>
      </w:r>
      <w:r w:rsidR="00557123" w:rsidRPr="005268F8">
        <w:rPr>
          <w:u w:val="single"/>
        </w:rPr>
        <w:t>These funds must be utilized prior to WIOA Adult and Dislocated Worker funds, in accordance with WIOA 134(c)(3)(B)(</w:t>
      </w:r>
      <w:proofErr w:type="spellStart"/>
      <w:r w:rsidR="00557123" w:rsidRPr="005268F8">
        <w:rPr>
          <w:u w:val="single"/>
        </w:rPr>
        <w:t>i</w:t>
      </w:r>
      <w:proofErr w:type="spellEnd"/>
      <w:r w:rsidR="00557123" w:rsidRPr="005268F8">
        <w:rPr>
          <w:u w:val="single"/>
        </w:rPr>
        <w:t>)(I).</w:t>
      </w:r>
      <w:r w:rsidR="00557123" w:rsidRPr="00247B18">
        <w:t xml:space="preserve">  </w:t>
      </w:r>
    </w:p>
    <w:p w14:paraId="2B4601D9" w14:textId="72737757" w:rsidR="00297B15" w:rsidRPr="009141D7" w:rsidRDefault="005563D0" w:rsidP="00E007ED">
      <w:pPr>
        <w:jc w:val="both"/>
        <w:rPr>
          <w:color w:val="FF0000"/>
        </w:rPr>
      </w:pPr>
      <w:r w:rsidRPr="00C11834">
        <w:rPr>
          <w:rFonts w:cstheme="minorHAnsi"/>
        </w:rPr>
        <w:t xml:space="preserve">The adult and dislocated worker programs work in coordination with all partners, and are a pivotal piece of the one-stop delivery system. The one-stop system provides universal access to career services to meet the diverse needs of adults and dislocated workers. WIOA provides for a workforce system that is universally accessible, customer centered, and training that is job-driven. </w:t>
      </w:r>
      <w:r w:rsidRPr="00C11834">
        <w:rPr>
          <w:rFonts w:cstheme="minorHAnsi"/>
          <w:b/>
        </w:rPr>
        <w:t>The goal of service should be to guide participants on ways to enhance their skill sets and increase their likelihood of gaining and retaining self-sufficiency through employment</w:t>
      </w:r>
      <w:r w:rsidR="00287554">
        <w:rPr>
          <w:rFonts w:cstheme="minorHAnsi"/>
          <w:b/>
        </w:rPr>
        <w:t xml:space="preserve">, </w:t>
      </w:r>
      <w:r w:rsidRPr="00C11834">
        <w:rPr>
          <w:rFonts w:cstheme="minorHAnsi"/>
          <w:b/>
        </w:rPr>
        <w:t>while working to reduce and remove barriers to employment.</w:t>
      </w:r>
      <w:r w:rsidRPr="00C11834">
        <w:rPr>
          <w:rFonts w:cstheme="minorHAnsi"/>
        </w:rPr>
        <w:t xml:space="preserve"> </w:t>
      </w:r>
      <w:r w:rsidR="00D47F0F" w:rsidRPr="005268F8">
        <w:rPr>
          <w:rFonts w:cstheme="minorHAnsi"/>
        </w:rPr>
        <w:t xml:space="preserve">At a minimum, this policy </w:t>
      </w:r>
      <w:r w:rsidR="00247B18">
        <w:rPr>
          <w:rFonts w:cstheme="minorHAnsi"/>
        </w:rPr>
        <w:t xml:space="preserve">clarification has </w:t>
      </w:r>
      <w:r w:rsidR="00557123" w:rsidRPr="005268F8">
        <w:rPr>
          <w:rFonts w:cstheme="minorHAnsi"/>
        </w:rPr>
        <w:t>also been made to the definition of Dislocated Worker Category I; to the Individual Employment Plan section regarding the documentation of case management activities; and to the determination of “unmet need”.  Finally, information has been added regarding the ability to utilize WIOA funds to pay for the cost of training for individuals who have a Federal Student Loan in default status.</w:t>
      </w:r>
      <w:r w:rsidR="00D47F0F" w:rsidRPr="00C11834">
        <w:rPr>
          <w:rFonts w:cstheme="minorHAnsi"/>
        </w:rPr>
        <w:t xml:space="preserve"> </w:t>
      </w:r>
    </w:p>
    <w:p w14:paraId="5BBCF3D9" w14:textId="6D033E28" w:rsidR="00961FF1" w:rsidRDefault="00032C69" w:rsidP="00E007ED">
      <w:pPr>
        <w:pStyle w:val="Heading1"/>
        <w:numPr>
          <w:ilvl w:val="0"/>
          <w:numId w:val="0"/>
        </w:numPr>
        <w:jc w:val="both"/>
      </w:pPr>
      <w:r w:rsidRPr="00C11834">
        <w:t>II</w:t>
      </w:r>
      <w:r w:rsidR="00961FF1" w:rsidRPr="00C11834">
        <w:t xml:space="preserve">.  </w:t>
      </w:r>
      <w:r w:rsidR="00297B15" w:rsidRPr="00C11834">
        <w:t>BACKGROUND</w:t>
      </w:r>
    </w:p>
    <w:p w14:paraId="1AC2EFC4" w14:textId="5CFD9186" w:rsidR="00297B15" w:rsidRDefault="00287554" w:rsidP="00E007ED">
      <w:pPr>
        <w:jc w:val="both"/>
      </w:pPr>
      <w:r>
        <w:rPr>
          <w:rFonts w:eastAsia="Calibri"/>
        </w:rPr>
        <w:t xml:space="preserve">WIOA </w:t>
      </w:r>
      <w:r w:rsidR="00D40C02" w:rsidRPr="00C11834">
        <w:t>provides for a workforce system that is customer centered, accessible to all job seekers, and training that is job-driven.  The Adult, D</w:t>
      </w:r>
      <w:r>
        <w:t>LW</w:t>
      </w:r>
      <w:r w:rsidR="00D40C02" w:rsidRPr="00C11834">
        <w:t xml:space="preserve">, and ES programs, as required WIOA partners, provide training and employment services in the American Job Center network, known in Oklahoma as Oklahoma Works </w:t>
      </w:r>
      <w:r w:rsidR="00A158C9">
        <w:t xml:space="preserve">Career </w:t>
      </w:r>
      <w:r w:rsidR="00D40C02" w:rsidRPr="00C11834">
        <w:t>Centers</w:t>
      </w:r>
      <w:r w:rsidR="00163210">
        <w:t xml:space="preserve"> American Job Centers (AJC)</w:t>
      </w:r>
      <w:r w:rsidR="00D40C02" w:rsidRPr="00C11834">
        <w:t xml:space="preserve">.  Under WIOA, partner programs and entities that are jointly responsible for workforce and economic development, educational, and other human resource programs, collaborate to create a seamless customer-focused network that integrates service delivery across all programs, </w:t>
      </w:r>
      <w:r w:rsidR="00D40C02" w:rsidRPr="00C11834">
        <w:rPr>
          <w:rFonts w:eastAsia="Calibri"/>
        </w:rPr>
        <w:t>allowing for easier</w:t>
      </w:r>
      <w:r w:rsidR="00D40C02" w:rsidRPr="00C11834">
        <w:t xml:space="preserve"> access to the services Oklahomans need to obtain skills and employment.</w:t>
      </w:r>
    </w:p>
    <w:p w14:paraId="7ABDE64A" w14:textId="20BB84AF" w:rsidR="00D47F0F" w:rsidRPr="00C11834" w:rsidRDefault="00032C69" w:rsidP="009141D7">
      <w:pPr>
        <w:pStyle w:val="Heading1"/>
        <w:numPr>
          <w:ilvl w:val="0"/>
          <w:numId w:val="0"/>
        </w:numPr>
        <w:rPr>
          <w:strike/>
        </w:rPr>
      </w:pPr>
      <w:r w:rsidRPr="00C11834">
        <w:t>III</w:t>
      </w:r>
      <w:r w:rsidR="00961FF1" w:rsidRPr="00C11834">
        <w:t xml:space="preserve">.  </w:t>
      </w:r>
      <w:r w:rsidR="00D47F0F" w:rsidRPr="00C11834">
        <w:t>REFERENCES</w:t>
      </w:r>
    </w:p>
    <w:p w14:paraId="62389041" w14:textId="77777777" w:rsidR="00D47F0F" w:rsidRPr="00C11834" w:rsidRDefault="00D47F0F" w:rsidP="00594BD4">
      <w:pPr>
        <w:pStyle w:val="ListParagraph"/>
        <w:numPr>
          <w:ilvl w:val="0"/>
          <w:numId w:val="4"/>
        </w:numPr>
        <w:ind w:left="648"/>
      </w:pPr>
      <w:r w:rsidRPr="00C11834">
        <w:t>The Workforce Innovation and Opportunity Act of 2014, Titles I and III</w:t>
      </w:r>
    </w:p>
    <w:p w14:paraId="2F02F2B1" w14:textId="77777777" w:rsidR="00D47F0F" w:rsidRPr="00C11834" w:rsidRDefault="00D47F0F" w:rsidP="00594BD4">
      <w:pPr>
        <w:pStyle w:val="ListParagraph"/>
        <w:numPr>
          <w:ilvl w:val="0"/>
          <w:numId w:val="4"/>
        </w:numPr>
        <w:ind w:left="648"/>
      </w:pPr>
      <w:r w:rsidRPr="00C11834">
        <w:t xml:space="preserve">20 CFR </w:t>
      </w:r>
      <w:r w:rsidRPr="00C11834">
        <w:rPr>
          <w:bCs/>
        </w:rPr>
        <w:t>§</w:t>
      </w:r>
      <w:r w:rsidRPr="00C11834">
        <w:t xml:space="preserve"> 678 </w:t>
      </w:r>
    </w:p>
    <w:p w14:paraId="1F254B6A" w14:textId="77777777" w:rsidR="00D47F0F" w:rsidRPr="00C11834" w:rsidRDefault="00D47F0F" w:rsidP="00594BD4">
      <w:pPr>
        <w:pStyle w:val="ListParagraph"/>
        <w:numPr>
          <w:ilvl w:val="0"/>
          <w:numId w:val="4"/>
        </w:numPr>
        <w:ind w:left="648"/>
      </w:pPr>
      <w:r w:rsidRPr="00C11834">
        <w:t xml:space="preserve">20 CFR </w:t>
      </w:r>
      <w:r w:rsidRPr="00C11834">
        <w:rPr>
          <w:bCs/>
        </w:rPr>
        <w:t>§</w:t>
      </w:r>
      <w:r w:rsidRPr="00C11834">
        <w:t xml:space="preserve"> 680</w:t>
      </w:r>
    </w:p>
    <w:p w14:paraId="74CAF68C" w14:textId="76EE853F" w:rsidR="00D47F0F" w:rsidRPr="00C11834" w:rsidRDefault="00D47F0F" w:rsidP="00594BD4">
      <w:pPr>
        <w:pStyle w:val="ListParagraph"/>
        <w:numPr>
          <w:ilvl w:val="0"/>
          <w:numId w:val="4"/>
        </w:numPr>
        <w:ind w:left="648"/>
      </w:pPr>
      <w:r w:rsidRPr="00C11834">
        <w:t>20 CFR, Subpart E Section 680.610</w:t>
      </w:r>
    </w:p>
    <w:p w14:paraId="29615F48" w14:textId="377AACA9" w:rsidR="00D47F0F" w:rsidRPr="00C11834" w:rsidRDefault="00D47F0F" w:rsidP="00594BD4">
      <w:pPr>
        <w:pStyle w:val="ListParagraph"/>
        <w:numPr>
          <w:ilvl w:val="0"/>
          <w:numId w:val="4"/>
        </w:numPr>
        <w:ind w:left="648"/>
      </w:pPr>
      <w:r w:rsidRPr="00C11834">
        <w:t>20 CFR, Subpart B Section 680.230</w:t>
      </w:r>
    </w:p>
    <w:p w14:paraId="179121E7" w14:textId="77777777" w:rsidR="00D47F0F" w:rsidRPr="00C11834" w:rsidRDefault="00D47F0F" w:rsidP="00594BD4">
      <w:pPr>
        <w:pStyle w:val="ListParagraph"/>
        <w:numPr>
          <w:ilvl w:val="0"/>
          <w:numId w:val="4"/>
        </w:numPr>
        <w:ind w:left="648"/>
      </w:pPr>
      <w:r w:rsidRPr="00C11834">
        <w:t xml:space="preserve">TEGL No. 19-16 </w:t>
      </w:r>
    </w:p>
    <w:p w14:paraId="35CE5F1B" w14:textId="77777777" w:rsidR="00D47F0F" w:rsidRPr="00C11834" w:rsidRDefault="00D47F0F" w:rsidP="00594BD4">
      <w:pPr>
        <w:pStyle w:val="ListParagraph"/>
        <w:numPr>
          <w:ilvl w:val="0"/>
          <w:numId w:val="4"/>
        </w:numPr>
        <w:ind w:left="648"/>
      </w:pPr>
      <w:r w:rsidRPr="00C11834">
        <w:t>TEGL No. 10-09</w:t>
      </w:r>
    </w:p>
    <w:p w14:paraId="49234D86" w14:textId="77777777" w:rsidR="00D47F0F" w:rsidRPr="00C11834" w:rsidRDefault="00D47F0F" w:rsidP="00594BD4">
      <w:pPr>
        <w:pStyle w:val="ListParagraph"/>
        <w:numPr>
          <w:ilvl w:val="0"/>
          <w:numId w:val="4"/>
        </w:numPr>
        <w:ind w:left="648"/>
      </w:pPr>
      <w:r w:rsidRPr="00C11834">
        <w:t>TEGL No. 10-16 and TEGL 10-16, Change 1</w:t>
      </w:r>
    </w:p>
    <w:p w14:paraId="6A61E8CA" w14:textId="77777777" w:rsidR="00D47F0F" w:rsidRPr="00C11834" w:rsidRDefault="00D47F0F" w:rsidP="00594BD4">
      <w:pPr>
        <w:pStyle w:val="ListParagraph"/>
        <w:numPr>
          <w:ilvl w:val="0"/>
          <w:numId w:val="4"/>
        </w:numPr>
        <w:ind w:left="648"/>
      </w:pPr>
      <w:bookmarkStart w:id="3" w:name="_Hlk526868453"/>
      <w:r w:rsidRPr="00C11834">
        <w:t>TEGL No. 22-04 and TEGL 22-04, Change 1</w:t>
      </w:r>
    </w:p>
    <w:bookmarkEnd w:id="3"/>
    <w:p w14:paraId="492C88CA" w14:textId="77777777" w:rsidR="00D47F0F" w:rsidRPr="00C11834" w:rsidRDefault="00D47F0F" w:rsidP="00594BD4">
      <w:pPr>
        <w:pStyle w:val="ListParagraph"/>
        <w:numPr>
          <w:ilvl w:val="0"/>
          <w:numId w:val="4"/>
        </w:numPr>
        <w:ind w:left="648"/>
      </w:pPr>
      <w:r w:rsidRPr="00C11834">
        <w:t>TEGL No. 41-14 and TEGL 41-14, Change 1</w:t>
      </w:r>
    </w:p>
    <w:p w14:paraId="4C888D71" w14:textId="77777777" w:rsidR="00D47F0F" w:rsidRPr="00C11834" w:rsidRDefault="00D47F0F" w:rsidP="00594BD4">
      <w:pPr>
        <w:pStyle w:val="ListParagraph"/>
        <w:numPr>
          <w:ilvl w:val="0"/>
          <w:numId w:val="4"/>
        </w:numPr>
        <w:ind w:left="648"/>
      </w:pPr>
      <w:r w:rsidRPr="00C11834">
        <w:t>TEGL No. 15-12</w:t>
      </w:r>
    </w:p>
    <w:p w14:paraId="2DA6FCA5" w14:textId="77777777" w:rsidR="00D47F0F" w:rsidRPr="00C11834" w:rsidRDefault="00D47F0F" w:rsidP="00594BD4">
      <w:pPr>
        <w:pStyle w:val="ListParagraph"/>
        <w:numPr>
          <w:ilvl w:val="0"/>
          <w:numId w:val="4"/>
        </w:numPr>
        <w:ind w:left="648"/>
      </w:pPr>
      <w:r w:rsidRPr="00C11834">
        <w:t xml:space="preserve">Oklahoma Workforce Development Issuance (OWDI) </w:t>
      </w:r>
      <w:r w:rsidRPr="00C11834">
        <w:rPr>
          <w:bCs/>
        </w:rPr>
        <w:t>#15-2017</w:t>
      </w:r>
    </w:p>
    <w:p w14:paraId="7A37228D" w14:textId="77777777" w:rsidR="00D47F0F" w:rsidRPr="00C11834" w:rsidRDefault="00D47F0F" w:rsidP="00594BD4">
      <w:pPr>
        <w:pStyle w:val="ListParagraph"/>
        <w:numPr>
          <w:ilvl w:val="0"/>
          <w:numId w:val="4"/>
        </w:numPr>
        <w:ind w:left="648"/>
      </w:pPr>
      <w:r w:rsidRPr="00C11834">
        <w:rPr>
          <w:bCs/>
        </w:rPr>
        <w:lastRenderedPageBreak/>
        <w:t>38 U.S.C. 4213</w:t>
      </w:r>
    </w:p>
    <w:p w14:paraId="594BF1D7" w14:textId="7DAA0DC2" w:rsidR="001676AD" w:rsidRPr="00AF1752" w:rsidRDefault="00D47F0F" w:rsidP="00594BD4">
      <w:pPr>
        <w:pStyle w:val="ListParagraph"/>
        <w:numPr>
          <w:ilvl w:val="0"/>
          <w:numId w:val="4"/>
        </w:numPr>
        <w:ind w:left="648"/>
        <w:rPr>
          <w:b/>
          <w:color w:val="000000"/>
        </w:rPr>
      </w:pPr>
      <w:r w:rsidRPr="00C11834">
        <w:t xml:space="preserve">Section 101 of Title 10, United States Code </w:t>
      </w:r>
      <w:r w:rsidRPr="001676AD">
        <w:t xml:space="preserve">29 USC </w:t>
      </w:r>
      <w:r w:rsidRPr="001676AD">
        <w:rPr>
          <w:bCs/>
        </w:rPr>
        <w:t xml:space="preserve">§§ 3101 </w:t>
      </w:r>
      <w:r w:rsidR="002758C6" w:rsidRPr="001676AD">
        <w:rPr>
          <w:bCs/>
        </w:rPr>
        <w:t>–</w:t>
      </w:r>
      <w:r w:rsidRPr="001676AD">
        <w:rPr>
          <w:bCs/>
        </w:rPr>
        <w:t xml:space="preserve"> 3361</w:t>
      </w:r>
    </w:p>
    <w:p w14:paraId="7FDEBC64" w14:textId="7CD47595" w:rsidR="00DE72B7" w:rsidRPr="00AF1752" w:rsidRDefault="00DE72B7" w:rsidP="00594BD4">
      <w:pPr>
        <w:pStyle w:val="ListParagraph"/>
        <w:numPr>
          <w:ilvl w:val="0"/>
          <w:numId w:val="4"/>
        </w:numPr>
        <w:ind w:left="648"/>
        <w:rPr>
          <w:b/>
          <w:color w:val="000000"/>
        </w:rPr>
      </w:pPr>
      <w:r>
        <w:rPr>
          <w:bCs/>
        </w:rPr>
        <w:t>OWDI 02-2019 Data Validation</w:t>
      </w:r>
    </w:p>
    <w:p w14:paraId="7DAFCAFD" w14:textId="54B33B21" w:rsidR="00DE72B7" w:rsidRDefault="00DE72B7" w:rsidP="00594BD4">
      <w:pPr>
        <w:pStyle w:val="ListParagraph"/>
        <w:numPr>
          <w:ilvl w:val="0"/>
          <w:numId w:val="4"/>
        </w:numPr>
        <w:ind w:left="648"/>
        <w:rPr>
          <w:bCs/>
          <w:color w:val="000000"/>
        </w:rPr>
      </w:pPr>
      <w:r w:rsidRPr="00AF1752">
        <w:rPr>
          <w:bCs/>
          <w:color w:val="000000"/>
        </w:rPr>
        <w:t>OWDI 19-2017 CHANGE 1 Adult Dislocated Worker Programs</w:t>
      </w:r>
    </w:p>
    <w:p w14:paraId="7AF046F6" w14:textId="284FA5BE" w:rsidR="000F14DB" w:rsidRPr="000F14DB" w:rsidRDefault="000F14DB" w:rsidP="00594BD4">
      <w:pPr>
        <w:pStyle w:val="ListParagraph"/>
        <w:numPr>
          <w:ilvl w:val="0"/>
          <w:numId w:val="4"/>
        </w:numPr>
        <w:ind w:left="648"/>
        <w:rPr>
          <w:bCs/>
          <w:color w:val="000000"/>
        </w:rPr>
      </w:pPr>
      <w:r>
        <w:rPr>
          <w:rFonts w:cs="Arial"/>
        </w:rPr>
        <w:t xml:space="preserve">OWDI 09-2017 </w:t>
      </w:r>
      <w:r w:rsidRPr="005268F8">
        <w:rPr>
          <w:rFonts w:cs="Arial"/>
        </w:rPr>
        <w:t xml:space="preserve">CHANGE </w:t>
      </w:r>
      <w:r>
        <w:rPr>
          <w:rFonts w:cs="Arial"/>
        </w:rPr>
        <w:t>2 WIOA</w:t>
      </w:r>
      <w:r w:rsidRPr="005268F8">
        <w:rPr>
          <w:rFonts w:cs="Arial"/>
        </w:rPr>
        <w:t xml:space="preserve"> Core Performance Measures</w:t>
      </w:r>
    </w:p>
    <w:p w14:paraId="12962226" w14:textId="5223226B" w:rsidR="000F14DB" w:rsidRPr="00291D66" w:rsidRDefault="000F14DB" w:rsidP="00594BD4">
      <w:pPr>
        <w:pStyle w:val="ListParagraph"/>
        <w:numPr>
          <w:ilvl w:val="0"/>
          <w:numId w:val="4"/>
        </w:numPr>
        <w:ind w:left="648"/>
        <w:rPr>
          <w:bCs/>
          <w:color w:val="000000"/>
        </w:rPr>
      </w:pPr>
      <w:r>
        <w:rPr>
          <w:color w:val="000000"/>
        </w:rPr>
        <w:t>Memorandum 06-2019</w:t>
      </w:r>
    </w:p>
    <w:p w14:paraId="28EC4A33" w14:textId="77777777" w:rsidR="00291D66" w:rsidRPr="00291D66" w:rsidRDefault="00291D66" w:rsidP="00291D66">
      <w:pPr>
        <w:rPr>
          <w:bCs/>
          <w:color w:val="000000"/>
        </w:rPr>
      </w:pPr>
    </w:p>
    <w:p w14:paraId="0F30F7A9" w14:textId="77777777" w:rsidR="00291D66" w:rsidRPr="009141D7" w:rsidRDefault="00291D66" w:rsidP="00291D66">
      <w:pPr>
        <w:spacing w:after="0" w:line="240" w:lineRule="auto"/>
        <w:ind w:left="288"/>
        <w:jc w:val="both"/>
        <w:rPr>
          <w:rStyle w:val="Emphasis"/>
        </w:rPr>
      </w:pPr>
      <w:bookmarkStart w:id="4" w:name="_Hlk14952594"/>
      <w:r w:rsidRPr="00291D66">
        <w:rPr>
          <w:rStyle w:val="Emphasis"/>
          <w:b/>
          <w:bCs/>
        </w:rPr>
        <w:t>BABEL NOTICE:</w:t>
      </w:r>
      <w:r w:rsidRPr="009141D7">
        <w:rPr>
          <w:rStyle w:val="Emphasis"/>
        </w:rPr>
        <w:t xml:space="preserve"> (29CFR 38.9(g)(3)): This document contains vital service information.  If English is not your preferred language, please contact:</w:t>
      </w:r>
    </w:p>
    <w:p w14:paraId="6499C816" w14:textId="77777777" w:rsidR="00291D66" w:rsidRPr="009141D7" w:rsidRDefault="00291D66" w:rsidP="00291D66">
      <w:pPr>
        <w:spacing w:after="0" w:line="240" w:lineRule="auto"/>
        <w:ind w:left="288"/>
        <w:jc w:val="both"/>
        <w:rPr>
          <w:rStyle w:val="Emphasis"/>
        </w:rPr>
      </w:pPr>
    </w:p>
    <w:p w14:paraId="7A9DEEF2" w14:textId="77777777" w:rsidR="00291D66" w:rsidRPr="009141D7" w:rsidRDefault="00291D66" w:rsidP="00291D66">
      <w:pPr>
        <w:spacing w:after="0" w:line="240" w:lineRule="auto"/>
        <w:ind w:left="288"/>
        <w:jc w:val="both"/>
        <w:rPr>
          <w:rStyle w:val="Emphasis"/>
        </w:rPr>
      </w:pPr>
      <w:r w:rsidRPr="009141D7">
        <w:rPr>
          <w:rStyle w:val="Emphasis"/>
        </w:rPr>
        <w:t>Northeast Workforce Development Board</w:t>
      </w:r>
    </w:p>
    <w:p w14:paraId="17E4BCE4" w14:textId="77777777" w:rsidR="00291D66" w:rsidRPr="009141D7" w:rsidRDefault="00291D66" w:rsidP="00291D66">
      <w:pPr>
        <w:autoSpaceDE w:val="0"/>
        <w:autoSpaceDN w:val="0"/>
        <w:adjustRightInd w:val="0"/>
        <w:spacing w:after="0" w:line="240" w:lineRule="auto"/>
        <w:ind w:left="288"/>
        <w:jc w:val="both"/>
        <w:rPr>
          <w:rStyle w:val="Emphasis"/>
        </w:rPr>
      </w:pPr>
      <w:r>
        <w:rPr>
          <w:rStyle w:val="Emphasis"/>
        </w:rPr>
        <w:t>Jeremy Frutchey</w:t>
      </w:r>
      <w:r w:rsidRPr="009141D7">
        <w:rPr>
          <w:rStyle w:val="Emphasis"/>
        </w:rPr>
        <w:t>, EO Officer</w:t>
      </w:r>
    </w:p>
    <w:p w14:paraId="3D2F3DC9" w14:textId="77777777" w:rsidR="00291D66" w:rsidRPr="009141D7" w:rsidRDefault="00291D66" w:rsidP="00291D66">
      <w:pPr>
        <w:autoSpaceDE w:val="0"/>
        <w:autoSpaceDN w:val="0"/>
        <w:adjustRightInd w:val="0"/>
        <w:spacing w:after="0" w:line="240" w:lineRule="auto"/>
        <w:ind w:left="288"/>
        <w:jc w:val="both"/>
        <w:rPr>
          <w:rStyle w:val="Emphasis"/>
        </w:rPr>
      </w:pPr>
      <w:r w:rsidRPr="009141D7">
        <w:rPr>
          <w:rStyle w:val="Emphasis"/>
        </w:rPr>
        <w:t>1503 N Lynn Riggs Blvd, Ste. D</w:t>
      </w:r>
    </w:p>
    <w:p w14:paraId="58622262" w14:textId="77777777" w:rsidR="00291D66" w:rsidRPr="009141D7" w:rsidRDefault="00291D66" w:rsidP="00291D66">
      <w:pPr>
        <w:autoSpaceDE w:val="0"/>
        <w:autoSpaceDN w:val="0"/>
        <w:adjustRightInd w:val="0"/>
        <w:spacing w:after="0" w:line="240" w:lineRule="auto"/>
        <w:ind w:left="288"/>
        <w:jc w:val="both"/>
        <w:rPr>
          <w:rStyle w:val="Emphasis"/>
        </w:rPr>
      </w:pPr>
      <w:r w:rsidRPr="009141D7">
        <w:rPr>
          <w:rStyle w:val="Emphasis"/>
        </w:rPr>
        <w:t>Claremore, OK 74017</w:t>
      </w:r>
    </w:p>
    <w:p w14:paraId="40F173D8" w14:textId="7BF66501" w:rsidR="00291D66" w:rsidRPr="009141D7" w:rsidRDefault="00291D66" w:rsidP="00291D66">
      <w:pPr>
        <w:autoSpaceDE w:val="0"/>
        <w:autoSpaceDN w:val="0"/>
        <w:adjustRightInd w:val="0"/>
        <w:spacing w:after="0" w:line="240" w:lineRule="auto"/>
        <w:ind w:left="288"/>
        <w:jc w:val="both"/>
        <w:rPr>
          <w:rStyle w:val="Emphasis"/>
        </w:rPr>
      </w:pPr>
      <w:r w:rsidRPr="009141D7">
        <w:rPr>
          <w:rStyle w:val="Emphasis"/>
        </w:rPr>
        <w:t>Office: 918.907.0902</w:t>
      </w:r>
      <w:r w:rsidR="001A30BA">
        <w:rPr>
          <w:rStyle w:val="Emphasis"/>
        </w:rPr>
        <w:t xml:space="preserve"> or </w:t>
      </w:r>
      <w:r w:rsidRPr="009141D7">
        <w:rPr>
          <w:rStyle w:val="Emphasis"/>
        </w:rPr>
        <w:t xml:space="preserve">Cell: </w:t>
      </w:r>
      <w:r>
        <w:rPr>
          <w:rStyle w:val="Emphasis"/>
        </w:rPr>
        <w:t>405.269.2821</w:t>
      </w:r>
    </w:p>
    <w:p w14:paraId="09F5F652" w14:textId="77777777" w:rsidR="00291D66" w:rsidRPr="009141D7" w:rsidRDefault="00291D66" w:rsidP="00291D66">
      <w:pPr>
        <w:autoSpaceDE w:val="0"/>
        <w:autoSpaceDN w:val="0"/>
        <w:adjustRightInd w:val="0"/>
        <w:spacing w:after="0" w:line="240" w:lineRule="auto"/>
        <w:ind w:left="288"/>
        <w:jc w:val="both"/>
        <w:rPr>
          <w:rStyle w:val="Emphasis"/>
        </w:rPr>
      </w:pPr>
      <w:r w:rsidRPr="009141D7">
        <w:rPr>
          <w:rStyle w:val="Emphasis"/>
        </w:rPr>
        <w:t xml:space="preserve">Email: </w:t>
      </w:r>
      <w:hyperlink r:id="rId15" w:history="1">
        <w:r w:rsidRPr="00811F92">
          <w:rPr>
            <w:rStyle w:val="Hyperlink"/>
          </w:rPr>
          <w:t>jeremy.frutchey@northeastworkforceboard.com</w:t>
        </w:r>
      </w:hyperlink>
      <w:r w:rsidRPr="009141D7">
        <w:rPr>
          <w:rStyle w:val="Emphasis"/>
        </w:rPr>
        <w:t xml:space="preserve"> </w:t>
      </w:r>
    </w:p>
    <w:p w14:paraId="3BF75AE4" w14:textId="77777777" w:rsidR="00291D66" w:rsidRPr="009141D7" w:rsidRDefault="00291D66" w:rsidP="00291D66">
      <w:pPr>
        <w:autoSpaceDE w:val="0"/>
        <w:autoSpaceDN w:val="0"/>
        <w:adjustRightInd w:val="0"/>
        <w:spacing w:after="0" w:line="240" w:lineRule="auto"/>
        <w:ind w:left="288"/>
        <w:jc w:val="both"/>
        <w:rPr>
          <w:rStyle w:val="Emphasis"/>
        </w:rPr>
      </w:pPr>
    </w:p>
    <w:p w14:paraId="1B66B206" w14:textId="782F630A" w:rsidR="00291D66" w:rsidRPr="009141D7" w:rsidRDefault="001A30BA" w:rsidP="00291D66">
      <w:pPr>
        <w:autoSpaceDE w:val="0"/>
        <w:autoSpaceDN w:val="0"/>
        <w:adjustRightInd w:val="0"/>
        <w:spacing w:after="0" w:line="240" w:lineRule="auto"/>
        <w:ind w:left="288"/>
        <w:jc w:val="both"/>
        <w:rPr>
          <w:rStyle w:val="Emphasis"/>
        </w:rPr>
      </w:pPr>
      <w:r>
        <w:rPr>
          <w:rStyle w:val="Emphasis"/>
        </w:rPr>
        <w:t>o</w:t>
      </w:r>
      <w:r w:rsidR="00291D66" w:rsidRPr="009141D7">
        <w:rPr>
          <w:rStyle w:val="Emphasis"/>
        </w:rPr>
        <w:t>r,</w:t>
      </w:r>
    </w:p>
    <w:p w14:paraId="4DC857D0" w14:textId="77777777" w:rsidR="00291D66" w:rsidRPr="009141D7" w:rsidRDefault="00291D66" w:rsidP="00291D66">
      <w:pPr>
        <w:autoSpaceDE w:val="0"/>
        <w:autoSpaceDN w:val="0"/>
        <w:adjustRightInd w:val="0"/>
        <w:spacing w:after="0" w:line="240" w:lineRule="auto"/>
        <w:ind w:left="288"/>
        <w:jc w:val="both"/>
        <w:rPr>
          <w:rStyle w:val="Emphasis"/>
        </w:rPr>
      </w:pPr>
    </w:p>
    <w:p w14:paraId="19DD92EB" w14:textId="77777777" w:rsidR="00291D66" w:rsidRPr="009141D7" w:rsidRDefault="00291D66" w:rsidP="00291D66">
      <w:pPr>
        <w:autoSpaceDE w:val="0"/>
        <w:autoSpaceDN w:val="0"/>
        <w:adjustRightInd w:val="0"/>
        <w:spacing w:after="0" w:line="240" w:lineRule="auto"/>
        <w:ind w:left="288"/>
        <w:jc w:val="both"/>
        <w:rPr>
          <w:rStyle w:val="Emphasis"/>
        </w:rPr>
      </w:pPr>
      <w:r w:rsidRPr="009141D7">
        <w:rPr>
          <w:rStyle w:val="Emphasis"/>
        </w:rPr>
        <w:t>State Equal Opportunity Officer</w:t>
      </w:r>
    </w:p>
    <w:p w14:paraId="6459F85E" w14:textId="77777777" w:rsidR="00291D66" w:rsidRPr="009141D7" w:rsidRDefault="00291D66" w:rsidP="00291D66">
      <w:pPr>
        <w:autoSpaceDE w:val="0"/>
        <w:autoSpaceDN w:val="0"/>
        <w:adjustRightInd w:val="0"/>
        <w:spacing w:after="0" w:line="240" w:lineRule="auto"/>
        <w:ind w:left="288"/>
        <w:jc w:val="both"/>
        <w:rPr>
          <w:rStyle w:val="Emphasis"/>
        </w:rPr>
      </w:pPr>
      <w:r w:rsidRPr="009141D7">
        <w:rPr>
          <w:rStyle w:val="Emphasis"/>
        </w:rPr>
        <w:t>Oklahoma Office of Workforce Development</w:t>
      </w:r>
    </w:p>
    <w:p w14:paraId="6A9A146C" w14:textId="77777777" w:rsidR="00291D66" w:rsidRPr="009141D7" w:rsidRDefault="00291D66" w:rsidP="00291D66">
      <w:pPr>
        <w:autoSpaceDE w:val="0"/>
        <w:autoSpaceDN w:val="0"/>
        <w:adjustRightInd w:val="0"/>
        <w:spacing w:after="0" w:line="240" w:lineRule="auto"/>
        <w:ind w:left="288"/>
        <w:jc w:val="both"/>
        <w:rPr>
          <w:rStyle w:val="Emphasis"/>
        </w:rPr>
      </w:pPr>
      <w:r w:rsidRPr="009141D7">
        <w:rPr>
          <w:rStyle w:val="Emphasis"/>
        </w:rPr>
        <w:t>Ferris Barger</w:t>
      </w:r>
    </w:p>
    <w:p w14:paraId="340E711D" w14:textId="77777777" w:rsidR="00291D66" w:rsidRPr="009141D7" w:rsidRDefault="00291D66" w:rsidP="00291D66">
      <w:pPr>
        <w:autoSpaceDE w:val="0"/>
        <w:autoSpaceDN w:val="0"/>
        <w:adjustRightInd w:val="0"/>
        <w:spacing w:after="0" w:line="240" w:lineRule="auto"/>
        <w:ind w:left="288"/>
        <w:jc w:val="both"/>
        <w:rPr>
          <w:rStyle w:val="Emphasis"/>
        </w:rPr>
      </w:pPr>
      <w:r w:rsidRPr="009141D7">
        <w:rPr>
          <w:rStyle w:val="Emphasis"/>
        </w:rPr>
        <w:t>900 N Portland Avenue, BT 300</w:t>
      </w:r>
    </w:p>
    <w:p w14:paraId="2916455F" w14:textId="77777777" w:rsidR="00291D66" w:rsidRPr="009141D7" w:rsidRDefault="00291D66" w:rsidP="00291D66">
      <w:pPr>
        <w:autoSpaceDE w:val="0"/>
        <w:autoSpaceDN w:val="0"/>
        <w:adjustRightInd w:val="0"/>
        <w:spacing w:after="0" w:line="240" w:lineRule="auto"/>
        <w:ind w:left="288"/>
        <w:jc w:val="both"/>
        <w:rPr>
          <w:rStyle w:val="Emphasis"/>
        </w:rPr>
      </w:pPr>
      <w:r w:rsidRPr="009141D7">
        <w:rPr>
          <w:rStyle w:val="Emphasis"/>
        </w:rPr>
        <w:t>Oklahoma City, OK 73107</w:t>
      </w:r>
    </w:p>
    <w:p w14:paraId="56700D33" w14:textId="77777777" w:rsidR="00291D66" w:rsidRPr="009141D7" w:rsidRDefault="00291D66" w:rsidP="00291D66">
      <w:pPr>
        <w:autoSpaceDE w:val="0"/>
        <w:autoSpaceDN w:val="0"/>
        <w:adjustRightInd w:val="0"/>
        <w:spacing w:after="0" w:line="240" w:lineRule="auto"/>
        <w:ind w:left="288"/>
        <w:jc w:val="both"/>
        <w:rPr>
          <w:rStyle w:val="Emphasis"/>
        </w:rPr>
      </w:pPr>
      <w:r w:rsidRPr="009141D7">
        <w:rPr>
          <w:rStyle w:val="Emphasis"/>
        </w:rPr>
        <w:t>Office:  405.208.2519</w:t>
      </w:r>
    </w:p>
    <w:p w14:paraId="23B74681" w14:textId="77777777" w:rsidR="00291D66" w:rsidRPr="009141D7" w:rsidRDefault="00291D66" w:rsidP="00291D66">
      <w:pPr>
        <w:autoSpaceDE w:val="0"/>
        <w:autoSpaceDN w:val="0"/>
        <w:adjustRightInd w:val="0"/>
        <w:spacing w:after="0" w:line="240" w:lineRule="auto"/>
        <w:ind w:left="288"/>
        <w:jc w:val="both"/>
        <w:rPr>
          <w:rStyle w:val="Emphasis"/>
        </w:rPr>
      </w:pPr>
      <w:r w:rsidRPr="009141D7">
        <w:rPr>
          <w:rStyle w:val="Emphasis"/>
        </w:rPr>
        <w:t xml:space="preserve">Email:  </w:t>
      </w:r>
      <w:hyperlink r:id="rId16" w:history="1">
        <w:r w:rsidRPr="003E600B">
          <w:rPr>
            <w:rStyle w:val="Hyperlink"/>
          </w:rPr>
          <w:t>ferris.barger@okcommerce.gov</w:t>
        </w:r>
      </w:hyperlink>
    </w:p>
    <w:p w14:paraId="491888B2" w14:textId="77777777" w:rsidR="00291D66" w:rsidRPr="009141D7" w:rsidRDefault="00291D66" w:rsidP="00291D66">
      <w:pPr>
        <w:spacing w:after="0"/>
        <w:ind w:left="288"/>
        <w:jc w:val="both"/>
        <w:rPr>
          <w:rStyle w:val="Emphasis"/>
        </w:rPr>
      </w:pPr>
    </w:p>
    <w:p w14:paraId="038DD62D" w14:textId="59355098" w:rsidR="00291D66" w:rsidRDefault="00291D66" w:rsidP="00291D66">
      <w:pPr>
        <w:spacing w:after="0"/>
        <w:ind w:left="288"/>
        <w:jc w:val="both"/>
        <w:rPr>
          <w:rStyle w:val="Emphasis"/>
        </w:rPr>
      </w:pPr>
      <w:r w:rsidRPr="009141D7">
        <w:rPr>
          <w:rStyle w:val="Emphasis"/>
        </w:rPr>
        <w:t>To enable telephone conversation between people with speech or hearing loss and people without speech or hearing loss please call Oklahoma Relay at 711 (</w:t>
      </w:r>
      <w:hyperlink r:id="rId17" w:history="1">
        <w:r w:rsidRPr="00291D66">
          <w:rPr>
            <w:rStyle w:val="Emphasis"/>
            <w:color w:val="0000CC"/>
            <w:u w:val="single"/>
          </w:rPr>
          <w:t>http://www.oklahomarelay.com/711.html</w:t>
        </w:r>
      </w:hyperlink>
      <w:r w:rsidRPr="009141D7">
        <w:rPr>
          <w:rStyle w:val="Emphasis"/>
        </w:rPr>
        <w:t>) or TDD/TTY: 800-722-0353.</w:t>
      </w:r>
      <w:bookmarkEnd w:id="4"/>
    </w:p>
    <w:p w14:paraId="6D61B5A0" w14:textId="77777777" w:rsidR="00291D66" w:rsidRPr="00291D66" w:rsidRDefault="00291D66" w:rsidP="00291D66">
      <w:pPr>
        <w:spacing w:after="0"/>
        <w:ind w:left="288"/>
        <w:jc w:val="both"/>
        <w:rPr>
          <w:bCs/>
          <w:color w:val="000000"/>
        </w:rPr>
      </w:pPr>
    </w:p>
    <w:p w14:paraId="257CB9E0" w14:textId="518999D9" w:rsidR="00C54324" w:rsidRPr="00C11834" w:rsidRDefault="00032C69" w:rsidP="001E63B7">
      <w:pPr>
        <w:pStyle w:val="Heading1"/>
        <w:numPr>
          <w:ilvl w:val="0"/>
          <w:numId w:val="0"/>
        </w:numPr>
      </w:pPr>
      <w:r w:rsidRPr="00C11834">
        <w:t>IV</w:t>
      </w:r>
      <w:r w:rsidR="00961FF1" w:rsidRPr="00C11834">
        <w:t xml:space="preserve">.  </w:t>
      </w:r>
      <w:r w:rsidR="004621E3">
        <w:t xml:space="preserve">ADULT </w:t>
      </w:r>
      <w:r w:rsidR="004C4136">
        <w:t>and</w:t>
      </w:r>
      <w:r w:rsidR="004621E3">
        <w:t xml:space="preserve"> </w:t>
      </w:r>
      <w:r w:rsidR="004C4136">
        <w:t>DLW ELIGIBILTY and PROGRAM ENROLLMENT</w:t>
      </w:r>
    </w:p>
    <w:p w14:paraId="2FB7EB30" w14:textId="4F8EAE4D" w:rsidR="004621E3" w:rsidRDefault="000E0A40" w:rsidP="000E0A40">
      <w:pPr>
        <w:pStyle w:val="Heading2"/>
        <w:numPr>
          <w:ilvl w:val="0"/>
          <w:numId w:val="0"/>
        </w:numPr>
      </w:pPr>
      <w:bookmarkStart w:id="5" w:name="_Hlk528056049"/>
      <w:r>
        <w:t>4.1</w:t>
      </w:r>
      <w:r>
        <w:tab/>
      </w:r>
      <w:r w:rsidR="004621E3" w:rsidRPr="0079606A">
        <w:t>Adult</w:t>
      </w:r>
      <w:r w:rsidR="00FB5253" w:rsidRPr="0079606A">
        <w:t>/DLW</w:t>
      </w:r>
      <w:r w:rsidR="004621E3" w:rsidRPr="0079606A">
        <w:t xml:space="preserve"> Eligibility</w:t>
      </w:r>
      <w:r w:rsidR="0098164A">
        <w:t xml:space="preserve"> </w:t>
      </w:r>
    </w:p>
    <w:p w14:paraId="7BF1451D" w14:textId="0A2CB9A4" w:rsidR="004621E3" w:rsidRPr="0033273D" w:rsidRDefault="004621E3" w:rsidP="00E007ED">
      <w:pPr>
        <w:jc w:val="both"/>
      </w:pPr>
      <w:r w:rsidRPr="0033273D">
        <w:t>Eligibility</w:t>
      </w:r>
      <w:r w:rsidR="00287554">
        <w:t xml:space="preserve"> </w:t>
      </w:r>
      <w:r w:rsidR="00D14672" w:rsidRPr="0033273D">
        <w:t>-</w:t>
      </w:r>
      <w:r w:rsidR="00287554">
        <w:t xml:space="preserve"> </w:t>
      </w:r>
      <w:r w:rsidRPr="0033273D">
        <w:t>Individuals enrolling in the Adult or DLW program must meet the following general</w:t>
      </w:r>
      <w:r w:rsidR="0098164A">
        <w:t xml:space="preserve"> </w:t>
      </w:r>
      <w:r w:rsidRPr="0033273D">
        <w:t>eligibility requirements:</w:t>
      </w:r>
      <w:r w:rsidR="0098164A">
        <w:t xml:space="preserve"> (See Attachment </w:t>
      </w:r>
      <w:r w:rsidR="00E72AC7">
        <w:t>A)</w:t>
      </w:r>
    </w:p>
    <w:bookmarkEnd w:id="5"/>
    <w:p w14:paraId="0EB23EAA" w14:textId="2F390771" w:rsidR="00AB46C3" w:rsidRPr="001418BB" w:rsidRDefault="004621E3" w:rsidP="00594BD4">
      <w:pPr>
        <w:pStyle w:val="ListParagraph"/>
        <w:numPr>
          <w:ilvl w:val="0"/>
          <w:numId w:val="5"/>
        </w:numPr>
        <w:jc w:val="both"/>
      </w:pPr>
      <w:r w:rsidRPr="00C55821">
        <w:rPr>
          <w:color w:val="000000"/>
        </w:rPr>
        <w:t>Be an individual who is age 18 and over;</w:t>
      </w:r>
      <w:r w:rsidR="00AB46C3" w:rsidRPr="00C55821">
        <w:rPr>
          <w:color w:val="000000"/>
        </w:rPr>
        <w:t xml:space="preserve"> </w:t>
      </w:r>
      <w:r w:rsidR="00AB46C3" w:rsidRPr="00AB46C3">
        <w:t xml:space="preserve">(See </w:t>
      </w:r>
      <w:r w:rsidR="00B25BF8">
        <w:t xml:space="preserve">current OOWD </w:t>
      </w:r>
      <w:r w:rsidR="00AB46C3" w:rsidRPr="00247B18">
        <w:t>Data Validation</w:t>
      </w:r>
      <w:r w:rsidR="00B25BF8">
        <w:t xml:space="preserve"> Policy</w:t>
      </w:r>
      <w:r w:rsidR="00AB46C3" w:rsidRPr="00247B18">
        <w:t xml:space="preserve"> for documentation requirements</w:t>
      </w:r>
      <w:r w:rsidR="000F14DB">
        <w:t xml:space="preserve"> for 1-3 eligibility requi</w:t>
      </w:r>
      <w:r w:rsidR="001418BB">
        <w:t>rem</w:t>
      </w:r>
      <w:r w:rsidR="000F14DB">
        <w:t>ents,</w:t>
      </w:r>
      <w:r w:rsidR="00DE72B7" w:rsidRPr="00DE72B7">
        <w:t xml:space="preserve"> </w:t>
      </w:r>
      <w:r w:rsidR="00DE72B7">
        <w:t xml:space="preserve">at </w:t>
      </w:r>
      <w:hyperlink r:id="rId18" w:history="1">
        <w:r w:rsidR="001418BB" w:rsidRPr="00067F2F">
          <w:rPr>
            <w:rStyle w:val="Hyperlink"/>
            <w:rFonts w:cstheme="minorHAnsi"/>
            <w:color w:val="0000CC"/>
          </w:rPr>
          <w:t>https://oklahomaworks.gov/wp-content/uploads/2019/05/OWDI-02-2019_Data-Validation_Combined.pdf</w:t>
        </w:r>
      </w:hyperlink>
      <w:r w:rsidR="001418BB">
        <w:t>.</w:t>
      </w:r>
      <w:r w:rsidR="001418BB" w:rsidRPr="001418BB">
        <w:t xml:space="preserve"> </w:t>
      </w:r>
    </w:p>
    <w:p w14:paraId="2FEAB677" w14:textId="39DF4CC6" w:rsidR="000F14DB" w:rsidRPr="000F14DB" w:rsidRDefault="004621E3" w:rsidP="00594BD4">
      <w:pPr>
        <w:pStyle w:val="ListParagraph"/>
        <w:numPr>
          <w:ilvl w:val="0"/>
          <w:numId w:val="5"/>
        </w:numPr>
        <w:jc w:val="both"/>
      </w:pPr>
      <w:r w:rsidRPr="00C55821">
        <w:rPr>
          <w:color w:val="000000"/>
        </w:rPr>
        <w:t>Be eligible to Work in the United States; and</w:t>
      </w:r>
      <w:r w:rsidR="004C4136" w:rsidRPr="00C55821">
        <w:rPr>
          <w:color w:val="000000"/>
        </w:rPr>
        <w:t xml:space="preserve"> </w:t>
      </w:r>
    </w:p>
    <w:p w14:paraId="6EE32548" w14:textId="30BBCE6B" w:rsidR="0020782B" w:rsidRPr="000F14DB" w:rsidRDefault="004621E3" w:rsidP="00594BD4">
      <w:pPr>
        <w:pStyle w:val="ListParagraph"/>
        <w:numPr>
          <w:ilvl w:val="0"/>
          <w:numId w:val="5"/>
        </w:numPr>
        <w:jc w:val="both"/>
      </w:pPr>
      <w:r w:rsidRPr="00C55821">
        <w:rPr>
          <w:color w:val="000000"/>
        </w:rPr>
        <w:t>Meet the standard for Selective Service Compliance</w:t>
      </w:r>
      <w:r w:rsidR="004C4136" w:rsidRPr="00C55821">
        <w:rPr>
          <w:color w:val="000000"/>
        </w:rPr>
        <w:t xml:space="preserve"> </w:t>
      </w:r>
      <w:r w:rsidR="002F4DDD" w:rsidRPr="000F14DB">
        <w:t xml:space="preserve">(See </w:t>
      </w:r>
      <w:r w:rsidR="00B25BF8" w:rsidRPr="000F14DB">
        <w:t xml:space="preserve">current </w:t>
      </w:r>
      <w:r w:rsidR="0020782B" w:rsidRPr="00C55821">
        <w:rPr>
          <w:b/>
          <w:bCs/>
        </w:rPr>
        <w:t>Selective Service Registration Requirement:</w:t>
      </w:r>
      <w:r w:rsidR="0020782B" w:rsidRPr="000F14DB">
        <w:t xml:space="preserve"> Section 189(h) of WIOA requires that all males who are at least 18 years of age and born after December 31, 1959, and who are not in the armed service on active duty, must be register</w:t>
      </w:r>
      <w:r w:rsidR="00287554" w:rsidRPr="000F14DB">
        <w:t>ed</w:t>
      </w:r>
      <w:r w:rsidR="0020782B" w:rsidRPr="000F14DB">
        <w:t xml:space="preserve"> with the Selective Service (SS), in accordance with the Military Selective Service Act </w:t>
      </w:r>
      <w:r w:rsidR="0020782B" w:rsidRPr="000F14DB">
        <w:lastRenderedPageBreak/>
        <w:t xml:space="preserve">(MSSA).  Males who cannot provide proof of SS Registration must be referred to the SS for registration through the Selective Service System </w:t>
      </w:r>
      <w:hyperlink r:id="rId19" w:history="1">
        <w:r w:rsidR="00682819" w:rsidRPr="00067F2F">
          <w:rPr>
            <w:rStyle w:val="Hyperlink"/>
            <w:rFonts w:cstheme="minorHAnsi"/>
            <w:color w:val="0000CC"/>
          </w:rPr>
          <w:t>https://www.sss.gov</w:t>
        </w:r>
      </w:hyperlink>
      <w:r w:rsidR="0020782B" w:rsidRPr="000F14DB">
        <w:t xml:space="preserve">. </w:t>
      </w:r>
    </w:p>
    <w:p w14:paraId="1B1A3465" w14:textId="77777777" w:rsidR="0020782B" w:rsidRPr="00C55821" w:rsidRDefault="0020782B" w:rsidP="00594BD4">
      <w:pPr>
        <w:pStyle w:val="ListParagraph"/>
        <w:numPr>
          <w:ilvl w:val="0"/>
          <w:numId w:val="6"/>
        </w:numPr>
        <w:jc w:val="both"/>
      </w:pPr>
      <w:r w:rsidRPr="00C55821">
        <w:t>A Selective Service Status Information Letter obtained from SS will serve as documentation of compliance with this requirement for individuals who have not registered after age 26.</w:t>
      </w:r>
    </w:p>
    <w:p w14:paraId="5758B645" w14:textId="77777777" w:rsidR="0020782B" w:rsidRPr="00C55821" w:rsidRDefault="0020782B" w:rsidP="00594BD4">
      <w:pPr>
        <w:pStyle w:val="ListParagraph"/>
        <w:numPr>
          <w:ilvl w:val="0"/>
          <w:numId w:val="6"/>
        </w:numPr>
        <w:jc w:val="both"/>
      </w:pPr>
      <w:r w:rsidRPr="00C55821">
        <w:t>Exemptions from SS registration applies to those continuously institutionalized or incarcerated from 30 days before turning 18 through age 25. Any break in institutionalization or incarceration longer than 30 days during this window of time would not qualify as exempt. Individuals claiming an exemption must provide proof of the dates of continuous confinement that accurately reflect no break or release for any period 30 days or longer.</w:t>
      </w:r>
    </w:p>
    <w:p w14:paraId="6C1C6C6A" w14:textId="758C9D1E" w:rsidR="004621E3" w:rsidRDefault="004621E3" w:rsidP="00594BD4">
      <w:pPr>
        <w:pStyle w:val="ListParagraph"/>
        <w:numPr>
          <w:ilvl w:val="0"/>
          <w:numId w:val="7"/>
        </w:numPr>
        <w:jc w:val="both"/>
      </w:pPr>
      <w:r w:rsidRPr="00C55821">
        <w:rPr>
          <w:b/>
          <w:u w:val="single"/>
        </w:rPr>
        <w:t>Adult</w:t>
      </w:r>
      <w:r w:rsidRPr="00C55821">
        <w:rPr>
          <w:b/>
        </w:rPr>
        <w:t>-</w:t>
      </w:r>
      <w:r w:rsidRPr="0020782B">
        <w:t xml:space="preserve"> means an individual who is age 18 or over.</w:t>
      </w:r>
    </w:p>
    <w:p w14:paraId="19781678" w14:textId="4E2EB762" w:rsidR="004621E3" w:rsidRPr="0020782B" w:rsidRDefault="004621E3" w:rsidP="00594BD4">
      <w:pPr>
        <w:pStyle w:val="ListParagraph"/>
        <w:numPr>
          <w:ilvl w:val="0"/>
          <w:numId w:val="7"/>
        </w:numPr>
        <w:jc w:val="both"/>
      </w:pPr>
      <w:r w:rsidRPr="00C55821">
        <w:rPr>
          <w:b/>
          <w:u w:val="single"/>
        </w:rPr>
        <w:t>Dislocated Worker (DLW)</w:t>
      </w:r>
      <w:r w:rsidRPr="00C55821">
        <w:rPr>
          <w:u w:val="single"/>
        </w:rPr>
        <w:t>-</w:t>
      </w:r>
      <w:r w:rsidRPr="0020782B">
        <w:t>means an individual who meets one of the fol</w:t>
      </w:r>
      <w:r w:rsidR="003B6B58" w:rsidRPr="0020782B">
        <w:t>lowing requirements:</w:t>
      </w:r>
    </w:p>
    <w:p w14:paraId="2F02CC17" w14:textId="37FD8F23" w:rsidR="004621E3" w:rsidRPr="004C4136" w:rsidRDefault="00FB5253" w:rsidP="00E007ED">
      <w:pPr>
        <w:pStyle w:val="ListParagraph"/>
        <w:jc w:val="both"/>
      </w:pPr>
      <w:r>
        <w:t>C</w:t>
      </w:r>
      <w:r w:rsidR="004621E3" w:rsidRPr="004C4136">
        <w:t xml:space="preserve">ategory 1: Recently Dislocated </w:t>
      </w:r>
    </w:p>
    <w:p w14:paraId="195C67AC" w14:textId="77777777" w:rsidR="004621E3" w:rsidRPr="00824ED1" w:rsidRDefault="004621E3" w:rsidP="00E007ED">
      <w:pPr>
        <w:pStyle w:val="ListParagraph"/>
        <w:jc w:val="both"/>
      </w:pPr>
      <w:r w:rsidRPr="00824ED1">
        <w:t xml:space="preserve">An individual in this category: </w:t>
      </w:r>
    </w:p>
    <w:p w14:paraId="6646DB98" w14:textId="77777777" w:rsidR="0051095F" w:rsidRPr="0051095F" w:rsidRDefault="004621E3" w:rsidP="00594BD4">
      <w:pPr>
        <w:pStyle w:val="ListParagraph"/>
        <w:numPr>
          <w:ilvl w:val="0"/>
          <w:numId w:val="8"/>
        </w:numPr>
        <w:jc w:val="both"/>
      </w:pPr>
      <w:r w:rsidRPr="0051095F">
        <w:t xml:space="preserve">has been terminated or laid off, or has received a notice of termination or layoff, from employment, including a separation notice from active military service (under other than dishonorable conditions); and </w:t>
      </w:r>
    </w:p>
    <w:p w14:paraId="0DAA0E62" w14:textId="77777777" w:rsidR="0051095F" w:rsidRPr="0051095F" w:rsidRDefault="004621E3" w:rsidP="00594BD4">
      <w:pPr>
        <w:pStyle w:val="ListParagraph"/>
        <w:numPr>
          <w:ilvl w:val="0"/>
          <w:numId w:val="8"/>
        </w:numPr>
        <w:jc w:val="both"/>
      </w:pPr>
      <w:r w:rsidRPr="0051095F">
        <w:t>is either eligible for or has exhausted entitlement to unemployment compensation, or</w:t>
      </w:r>
    </w:p>
    <w:p w14:paraId="39390A29" w14:textId="46910FC9" w:rsidR="0051095F" w:rsidRPr="0051095F" w:rsidRDefault="004621E3" w:rsidP="00594BD4">
      <w:pPr>
        <w:pStyle w:val="ListParagraph"/>
        <w:numPr>
          <w:ilvl w:val="0"/>
          <w:numId w:val="8"/>
        </w:numPr>
        <w:jc w:val="both"/>
      </w:pPr>
      <w:r w:rsidRPr="0051095F">
        <w:t xml:space="preserve">has been employed for a duration sufficient to demonstrate, to the appropriate entity at an Oklahoma Works </w:t>
      </w:r>
      <w:r w:rsidR="00163210">
        <w:t>AJC</w:t>
      </w:r>
      <w:r w:rsidRPr="0051095F">
        <w:t xml:space="preserve"> as described in WIOA section 121(e), attachment to the workforce, but is not eligible for unemployment compensation due to insufficient earnings or having performed services for an employer that were not covered under a state’s Unemployment Insurance (UI) law; and</w:t>
      </w:r>
    </w:p>
    <w:p w14:paraId="41F9C8F6" w14:textId="67933C90" w:rsidR="0051095F" w:rsidRPr="0051095F" w:rsidRDefault="004621E3" w:rsidP="00594BD4">
      <w:pPr>
        <w:pStyle w:val="ListParagraph"/>
        <w:numPr>
          <w:ilvl w:val="0"/>
          <w:numId w:val="8"/>
        </w:numPr>
        <w:jc w:val="both"/>
      </w:pPr>
      <w:r w:rsidRPr="0051095F">
        <w:t>is unlikely to return to a previous industry or occupation.</w:t>
      </w:r>
    </w:p>
    <w:p w14:paraId="6F285456" w14:textId="77777777" w:rsidR="00C55821" w:rsidRDefault="00C55821" w:rsidP="00E007ED">
      <w:pPr>
        <w:pStyle w:val="ListParagraph"/>
        <w:jc w:val="both"/>
      </w:pPr>
    </w:p>
    <w:p w14:paraId="56EA940C" w14:textId="01E9532B" w:rsidR="004621E3" w:rsidRPr="00C11834" w:rsidRDefault="004621E3" w:rsidP="00E007ED">
      <w:pPr>
        <w:pStyle w:val="ListParagraph"/>
        <w:jc w:val="both"/>
      </w:pPr>
      <w:r w:rsidRPr="00C11834">
        <w:t xml:space="preserve">Category 2: Plant Closure or Substantial Layoff </w:t>
      </w:r>
    </w:p>
    <w:p w14:paraId="003E6D0D" w14:textId="77777777" w:rsidR="004621E3" w:rsidRPr="00C11834" w:rsidRDefault="004621E3" w:rsidP="00E007ED">
      <w:pPr>
        <w:pStyle w:val="ListParagraph"/>
        <w:jc w:val="both"/>
      </w:pPr>
      <w:r w:rsidRPr="00C11834">
        <w:t>An individual in this category:</w:t>
      </w:r>
    </w:p>
    <w:p w14:paraId="75EA3348" w14:textId="77777777" w:rsidR="004621E3" w:rsidRPr="00C11834" w:rsidRDefault="004621E3" w:rsidP="00594BD4">
      <w:pPr>
        <w:pStyle w:val="ListParagraph"/>
        <w:numPr>
          <w:ilvl w:val="0"/>
          <w:numId w:val="9"/>
        </w:numPr>
        <w:jc w:val="both"/>
      </w:pPr>
      <w:r w:rsidRPr="00C11834">
        <w:t xml:space="preserve">has been laid off, or has received a notice of layoff, from employment as a result of any permanent closure of, or any substantial layoff at, a plant, facility, military installation or enterprise; </w:t>
      </w:r>
    </w:p>
    <w:p w14:paraId="34BE4DC4" w14:textId="77777777" w:rsidR="004621E3" w:rsidRPr="00C11834" w:rsidRDefault="004621E3" w:rsidP="00594BD4">
      <w:pPr>
        <w:pStyle w:val="ListParagraph"/>
        <w:numPr>
          <w:ilvl w:val="0"/>
          <w:numId w:val="9"/>
        </w:numPr>
        <w:jc w:val="both"/>
      </w:pPr>
      <w:r w:rsidRPr="00C11834">
        <w:t xml:space="preserve">is employed at a facility at which the employer has made a general announcement that such facility will close within 180 days; or </w:t>
      </w:r>
    </w:p>
    <w:p w14:paraId="03BA1CC4" w14:textId="5F525099" w:rsidR="004621E3" w:rsidRDefault="004621E3" w:rsidP="00594BD4">
      <w:pPr>
        <w:pStyle w:val="ListParagraph"/>
        <w:numPr>
          <w:ilvl w:val="0"/>
          <w:numId w:val="9"/>
        </w:numPr>
        <w:jc w:val="both"/>
      </w:pPr>
      <w:r w:rsidRPr="00C11834">
        <w:t xml:space="preserve">for purposes of eligibility to receive services other than training services, career services, or supportive services, is employed at a facility at which the employer has made a general announcement that such facility or military installation will close. </w:t>
      </w:r>
    </w:p>
    <w:p w14:paraId="2D33502C" w14:textId="78AF5B8F" w:rsidR="0051095F" w:rsidRDefault="0051095F" w:rsidP="00E007ED">
      <w:pPr>
        <w:pStyle w:val="ListParagraph"/>
        <w:jc w:val="both"/>
      </w:pPr>
    </w:p>
    <w:p w14:paraId="710F7D8F" w14:textId="7F61157F" w:rsidR="004621E3" w:rsidRPr="00C11834" w:rsidRDefault="004621E3" w:rsidP="00E007ED">
      <w:pPr>
        <w:pStyle w:val="ListParagraph"/>
        <w:jc w:val="both"/>
      </w:pPr>
      <w:r w:rsidRPr="00C11834">
        <w:t xml:space="preserve">Category 3: Loss of Self-Employment Income </w:t>
      </w:r>
    </w:p>
    <w:p w14:paraId="7A50D43A" w14:textId="7EEBC1CA" w:rsidR="004621E3" w:rsidRPr="00C11834" w:rsidRDefault="004621E3" w:rsidP="00E007ED">
      <w:pPr>
        <w:pStyle w:val="ListParagraph"/>
        <w:jc w:val="both"/>
      </w:pPr>
      <w:r w:rsidRPr="00C11834">
        <w:t xml:space="preserve">An individual in this category: </w:t>
      </w:r>
    </w:p>
    <w:p w14:paraId="09EAA9E3" w14:textId="37C20009" w:rsidR="004621E3" w:rsidRPr="00C11834" w:rsidRDefault="004621E3" w:rsidP="00594BD4">
      <w:pPr>
        <w:pStyle w:val="ListParagraph"/>
        <w:numPr>
          <w:ilvl w:val="0"/>
          <w:numId w:val="10"/>
        </w:numPr>
        <w:jc w:val="both"/>
      </w:pPr>
      <w:r w:rsidRPr="00C11834">
        <w:t>was self-employed (including employment as a farmer, a rancher, a fisherman, or an independent contractor or consultant not technically an employee of a firm or agency); and</w:t>
      </w:r>
    </w:p>
    <w:p w14:paraId="0A8423D6" w14:textId="5FFFA3EF" w:rsidR="004621E3" w:rsidRPr="00C11834" w:rsidRDefault="004621E3" w:rsidP="00594BD4">
      <w:pPr>
        <w:pStyle w:val="ListParagraph"/>
        <w:numPr>
          <w:ilvl w:val="0"/>
          <w:numId w:val="10"/>
        </w:numPr>
        <w:jc w:val="both"/>
      </w:pPr>
      <w:r w:rsidRPr="00C11834">
        <w:t xml:space="preserve">is unemployed as a result of general economic conditions in the community in which the individual resides or because of natural disasters.  </w:t>
      </w:r>
    </w:p>
    <w:p w14:paraId="0A5F8F54" w14:textId="77777777" w:rsidR="004621E3" w:rsidRPr="00C11834" w:rsidRDefault="004621E3" w:rsidP="00E007ED">
      <w:pPr>
        <w:pStyle w:val="ListParagraph"/>
        <w:jc w:val="both"/>
      </w:pPr>
    </w:p>
    <w:p w14:paraId="0F0A410A" w14:textId="77777777" w:rsidR="004621E3" w:rsidRPr="00C11834" w:rsidRDefault="004621E3" w:rsidP="00E007ED">
      <w:pPr>
        <w:pStyle w:val="ListParagraph"/>
        <w:jc w:val="both"/>
      </w:pPr>
      <w:r w:rsidRPr="00C11834">
        <w:t>Category 4: Displaced Homemakers</w:t>
      </w:r>
    </w:p>
    <w:p w14:paraId="176DE6F7" w14:textId="77777777" w:rsidR="004621E3" w:rsidRPr="00C11834" w:rsidRDefault="004621E3" w:rsidP="00E007ED">
      <w:pPr>
        <w:pStyle w:val="ListParagraph"/>
        <w:jc w:val="both"/>
      </w:pPr>
      <w:r w:rsidRPr="00C11834">
        <w:t>An individual in this category:</w:t>
      </w:r>
    </w:p>
    <w:p w14:paraId="6E424C66" w14:textId="77777777" w:rsidR="004621E3" w:rsidRPr="00C11834" w:rsidRDefault="004621E3" w:rsidP="00E007ED">
      <w:pPr>
        <w:pStyle w:val="ListParagraph"/>
        <w:jc w:val="both"/>
      </w:pPr>
      <w:r w:rsidRPr="00C11834">
        <w:t>is no longer supported by income from a family member; and</w:t>
      </w:r>
    </w:p>
    <w:p w14:paraId="0079C784" w14:textId="77777777" w:rsidR="004621E3" w:rsidRPr="00C11834" w:rsidRDefault="004621E3" w:rsidP="00E007ED">
      <w:pPr>
        <w:pStyle w:val="ListParagraph"/>
        <w:jc w:val="both"/>
      </w:pPr>
      <w:r w:rsidRPr="00C11834">
        <w:t>is unemployed or underemployed and experiencing difficulty in obtaining or upgrading employment.</w:t>
      </w:r>
    </w:p>
    <w:p w14:paraId="5AE7BA24" w14:textId="77777777" w:rsidR="004621E3" w:rsidRPr="00C11834" w:rsidRDefault="004621E3" w:rsidP="00E007ED">
      <w:pPr>
        <w:pStyle w:val="ListParagraph"/>
        <w:jc w:val="both"/>
      </w:pPr>
    </w:p>
    <w:p w14:paraId="06DCD0D9" w14:textId="77777777" w:rsidR="004621E3" w:rsidRPr="00C11834" w:rsidRDefault="004621E3" w:rsidP="00E007ED">
      <w:pPr>
        <w:pStyle w:val="ListParagraph"/>
        <w:jc w:val="both"/>
      </w:pPr>
      <w:r w:rsidRPr="00C11834">
        <w:t xml:space="preserve">Category 5: Military Spouses </w:t>
      </w:r>
    </w:p>
    <w:p w14:paraId="6044C4A2" w14:textId="77777777" w:rsidR="004621E3" w:rsidRPr="00C11834" w:rsidRDefault="004621E3" w:rsidP="00594BD4">
      <w:pPr>
        <w:pStyle w:val="ListParagraph"/>
        <w:numPr>
          <w:ilvl w:val="0"/>
          <w:numId w:val="11"/>
        </w:numPr>
        <w:jc w:val="both"/>
      </w:pPr>
      <w:r w:rsidRPr="00C11834">
        <w:t>An individual in this category is the spouse of a member of the Armed Forces on active duty (as defined in section 101(d)(1) of title 10, United States Code) who:</w:t>
      </w:r>
    </w:p>
    <w:p w14:paraId="493876B5" w14:textId="77777777" w:rsidR="004621E3" w:rsidRPr="00C11834" w:rsidRDefault="004621E3" w:rsidP="00594BD4">
      <w:pPr>
        <w:pStyle w:val="ListParagraph"/>
        <w:numPr>
          <w:ilvl w:val="0"/>
          <w:numId w:val="11"/>
        </w:numPr>
        <w:jc w:val="both"/>
      </w:pPr>
      <w:r w:rsidRPr="00C11834">
        <w:t xml:space="preserve">has experienced a loss of employment as a direct result of relocation to accommodate a permanent change in duty station of such member; or </w:t>
      </w:r>
    </w:p>
    <w:p w14:paraId="162EE143" w14:textId="77777777" w:rsidR="004621E3" w:rsidRPr="00C11834" w:rsidRDefault="004621E3" w:rsidP="00594BD4">
      <w:pPr>
        <w:pStyle w:val="ListParagraph"/>
        <w:numPr>
          <w:ilvl w:val="0"/>
          <w:numId w:val="11"/>
        </w:numPr>
        <w:jc w:val="both"/>
      </w:pPr>
      <w:r w:rsidRPr="00C11834">
        <w:t xml:space="preserve">who is unemployed or underemployed and experiencing difficulty in obtaining or upgrading </w:t>
      </w:r>
      <w:proofErr w:type="gramStart"/>
      <w:r w:rsidRPr="00C11834">
        <w:t>employment.</w:t>
      </w:r>
      <w:proofErr w:type="gramEnd"/>
    </w:p>
    <w:p w14:paraId="1F848336" w14:textId="77777777" w:rsidR="004621E3" w:rsidRPr="00C11834" w:rsidRDefault="004621E3" w:rsidP="00E007ED">
      <w:pPr>
        <w:pStyle w:val="ListParagraph"/>
        <w:jc w:val="both"/>
        <w:rPr>
          <w:color w:val="000000"/>
        </w:rPr>
      </w:pPr>
    </w:p>
    <w:p w14:paraId="39AA671D" w14:textId="122CCAC9" w:rsidR="004621E3" w:rsidRPr="00C11834" w:rsidRDefault="004B7579" w:rsidP="00E007ED">
      <w:pPr>
        <w:pStyle w:val="ListParagraph"/>
        <w:jc w:val="both"/>
        <w:rPr>
          <w:color w:val="000000"/>
        </w:rPr>
      </w:pPr>
      <w:r>
        <w:rPr>
          <w:color w:val="000000"/>
        </w:rPr>
        <w:t>A</w:t>
      </w:r>
      <w:r w:rsidR="004621E3" w:rsidRPr="00C11834">
        <w:rPr>
          <w:color w:val="000000"/>
        </w:rPr>
        <w:t xml:space="preserve">lthough Adult and Labor Exchange (LE) enrollments do not require supervisory approval, DLW enrollments enter into a pending queue for supervisory approval when entered into OKJobMatch by front-line staff.  DLW enrollments must be approved by a supervisor, verifying the client’s eligibility including uploaded documentation, self-attestation, and program notes, before there is any expenditure of DLW funds. </w:t>
      </w:r>
    </w:p>
    <w:p w14:paraId="59429BB9" w14:textId="77777777" w:rsidR="004621E3" w:rsidRPr="00C11834" w:rsidRDefault="004621E3" w:rsidP="00E007ED">
      <w:pPr>
        <w:pStyle w:val="ListParagraph"/>
        <w:jc w:val="both"/>
        <w:rPr>
          <w:color w:val="000000"/>
        </w:rPr>
      </w:pPr>
      <w:r w:rsidRPr="00C11834">
        <w:rPr>
          <w:color w:val="000000"/>
        </w:rPr>
        <w:t xml:space="preserve"> </w:t>
      </w:r>
    </w:p>
    <w:p w14:paraId="6878914B" w14:textId="7379E10C" w:rsidR="004621E3" w:rsidRDefault="004621E3" w:rsidP="00E007ED">
      <w:pPr>
        <w:pStyle w:val="ListParagraph"/>
        <w:jc w:val="both"/>
        <w:rPr>
          <w:color w:val="000000"/>
        </w:rPr>
      </w:pPr>
      <w:r w:rsidRPr="00C11834">
        <w:rPr>
          <w:color w:val="000000"/>
        </w:rPr>
        <w:t>All DLW enrollments must be approved or denied by a supervisor within 30 days of the enrollment request or the request will be denied by state administrators.  At this point eligibility must be re-determined and a new enrollment completed.  If approved within the 30-day window, the enrollment date is the date the enrollment entered into the pending queue.</w:t>
      </w:r>
    </w:p>
    <w:p w14:paraId="6D11F65F" w14:textId="77777777" w:rsidR="00C55821" w:rsidRDefault="00C55821" w:rsidP="00E007ED">
      <w:pPr>
        <w:pStyle w:val="ListParagraph"/>
        <w:autoSpaceDE w:val="0"/>
        <w:autoSpaceDN w:val="0"/>
        <w:adjustRightInd w:val="0"/>
        <w:spacing w:after="0" w:line="240" w:lineRule="auto"/>
        <w:jc w:val="both"/>
        <w:rPr>
          <w:rFonts w:ascii="Calibri" w:hAnsi="Calibri" w:cs="Calibri"/>
          <w:b/>
          <w:bCs/>
          <w:color w:val="000000"/>
        </w:rPr>
      </w:pPr>
    </w:p>
    <w:p w14:paraId="7D7BF9AD" w14:textId="00B73D73" w:rsidR="00805A40" w:rsidRPr="0020782B" w:rsidRDefault="000E0A40" w:rsidP="00E007ED">
      <w:pPr>
        <w:pStyle w:val="Heading2"/>
        <w:numPr>
          <w:ilvl w:val="0"/>
          <w:numId w:val="0"/>
        </w:numPr>
        <w:jc w:val="both"/>
      </w:pPr>
      <w:r>
        <w:t>4.2</w:t>
      </w:r>
      <w:r>
        <w:tab/>
      </w:r>
      <w:r w:rsidR="00805A40" w:rsidRPr="0020782B">
        <w:t xml:space="preserve">Eligibility </w:t>
      </w:r>
      <w:r w:rsidR="00CF74A8">
        <w:t>Documentation</w:t>
      </w:r>
      <w:r w:rsidR="00805A40" w:rsidRPr="0020782B">
        <w:t>:</w:t>
      </w:r>
    </w:p>
    <w:p w14:paraId="18266041" w14:textId="46177347" w:rsidR="00805A40" w:rsidRPr="000E0A40" w:rsidRDefault="00CF74A8" w:rsidP="00E007ED">
      <w:pPr>
        <w:autoSpaceDE w:val="0"/>
        <w:autoSpaceDN w:val="0"/>
        <w:adjustRightInd w:val="0"/>
        <w:spacing w:after="0" w:line="240" w:lineRule="auto"/>
        <w:jc w:val="both"/>
        <w:rPr>
          <w:rFonts w:ascii="Calibri" w:hAnsi="Calibri" w:cs="Calibri"/>
          <w:color w:val="000000"/>
        </w:rPr>
      </w:pPr>
      <w:r w:rsidRPr="000E0A40">
        <w:rPr>
          <w:rFonts w:ascii="Calibri" w:hAnsi="Calibri" w:cs="Calibri"/>
          <w:color w:val="000000"/>
        </w:rPr>
        <w:t xml:space="preserve">The </w:t>
      </w:r>
      <w:r w:rsidR="00805A40" w:rsidRPr="000E0A40">
        <w:rPr>
          <w:rFonts w:ascii="Calibri" w:hAnsi="Calibri" w:cs="Calibri"/>
          <w:color w:val="000000"/>
        </w:rPr>
        <w:t xml:space="preserve">Title I </w:t>
      </w:r>
      <w:r w:rsidRPr="000E0A40">
        <w:rPr>
          <w:rFonts w:ascii="Calibri" w:hAnsi="Calibri" w:cs="Calibri"/>
          <w:color w:val="000000"/>
        </w:rPr>
        <w:t>Adult and D</w:t>
      </w:r>
      <w:r w:rsidR="00B97CD6" w:rsidRPr="000E0A40">
        <w:rPr>
          <w:rFonts w:ascii="Calibri" w:hAnsi="Calibri" w:cs="Calibri"/>
          <w:color w:val="000000"/>
        </w:rPr>
        <w:t>LW</w:t>
      </w:r>
      <w:r w:rsidRPr="000E0A40">
        <w:rPr>
          <w:rFonts w:ascii="Calibri" w:hAnsi="Calibri" w:cs="Calibri"/>
          <w:color w:val="000000"/>
        </w:rPr>
        <w:t xml:space="preserve"> </w:t>
      </w:r>
      <w:r w:rsidR="00805A40" w:rsidRPr="000E0A40">
        <w:rPr>
          <w:rFonts w:ascii="Calibri" w:hAnsi="Calibri" w:cs="Calibri"/>
          <w:color w:val="000000"/>
        </w:rPr>
        <w:t>Program</w:t>
      </w:r>
      <w:r w:rsidR="005A153A" w:rsidRPr="000E0A40">
        <w:rPr>
          <w:rFonts w:ascii="Calibri" w:hAnsi="Calibri" w:cs="Calibri"/>
          <w:color w:val="000000"/>
        </w:rPr>
        <w:t>s</w:t>
      </w:r>
      <w:r w:rsidR="00805A40" w:rsidRPr="000E0A40">
        <w:rPr>
          <w:rFonts w:ascii="Calibri" w:hAnsi="Calibri" w:cs="Calibri"/>
          <w:color w:val="000000"/>
        </w:rPr>
        <w:t xml:space="preserve"> must utilize the WIOA Eligibility Form (Attachment </w:t>
      </w:r>
      <w:r w:rsidRPr="000E0A40">
        <w:rPr>
          <w:rFonts w:ascii="Calibri" w:hAnsi="Calibri" w:cs="Calibri"/>
          <w:color w:val="000000"/>
        </w:rPr>
        <w:t>A</w:t>
      </w:r>
      <w:r w:rsidR="00805A40" w:rsidRPr="000E0A40">
        <w:rPr>
          <w:rFonts w:ascii="Calibri" w:hAnsi="Calibri" w:cs="Calibri"/>
          <w:color w:val="000000"/>
        </w:rPr>
        <w:t xml:space="preserve">) to designate which eligibility criteria is used to determine program eligibility. </w:t>
      </w:r>
    </w:p>
    <w:p w14:paraId="13476D1E" w14:textId="77777777" w:rsidR="00805A40" w:rsidRDefault="00805A40" w:rsidP="00E007ED">
      <w:pPr>
        <w:autoSpaceDE w:val="0"/>
        <w:autoSpaceDN w:val="0"/>
        <w:adjustRightInd w:val="0"/>
        <w:spacing w:after="0" w:line="240" w:lineRule="auto"/>
        <w:jc w:val="both"/>
        <w:rPr>
          <w:rFonts w:ascii="Calibri" w:hAnsi="Calibri" w:cs="Calibri"/>
          <w:color w:val="000000"/>
        </w:rPr>
      </w:pPr>
    </w:p>
    <w:p w14:paraId="3631C0A9" w14:textId="0CAE3BCB" w:rsidR="00805A40" w:rsidRPr="00972F0E" w:rsidRDefault="00805A40" w:rsidP="00E007ED">
      <w:pPr>
        <w:autoSpaceDE w:val="0"/>
        <w:autoSpaceDN w:val="0"/>
        <w:adjustRightInd w:val="0"/>
        <w:spacing w:after="0" w:line="240" w:lineRule="auto"/>
        <w:jc w:val="both"/>
        <w:rPr>
          <w:rFonts w:ascii="Calibri" w:hAnsi="Calibri" w:cs="Calibri"/>
          <w:color w:val="000000"/>
        </w:rPr>
      </w:pPr>
      <w:r w:rsidRPr="00972F0E">
        <w:rPr>
          <w:rFonts w:ascii="Calibri" w:hAnsi="Calibri" w:cs="Calibri"/>
          <w:color w:val="000000"/>
        </w:rPr>
        <w:t xml:space="preserve">Each Title I </w:t>
      </w:r>
      <w:r w:rsidR="00B97CD6">
        <w:rPr>
          <w:rFonts w:ascii="Calibri" w:hAnsi="Calibri" w:cs="Calibri"/>
          <w:color w:val="000000"/>
        </w:rPr>
        <w:t>p</w:t>
      </w:r>
      <w:r w:rsidRPr="00972F0E">
        <w:rPr>
          <w:rFonts w:ascii="Calibri" w:hAnsi="Calibri" w:cs="Calibri"/>
          <w:color w:val="000000"/>
        </w:rPr>
        <w:t xml:space="preserve">articipant will be required to have the following documents uploaded: </w:t>
      </w:r>
    </w:p>
    <w:p w14:paraId="2DB8E60B" w14:textId="5F8C2AD6" w:rsidR="00805A40" w:rsidRPr="000E0A40" w:rsidRDefault="00805A40" w:rsidP="00594BD4">
      <w:pPr>
        <w:pStyle w:val="ListParagraph"/>
        <w:numPr>
          <w:ilvl w:val="0"/>
          <w:numId w:val="12"/>
        </w:numPr>
        <w:autoSpaceDE w:val="0"/>
        <w:autoSpaceDN w:val="0"/>
        <w:adjustRightInd w:val="0"/>
        <w:spacing w:after="0" w:line="240" w:lineRule="auto"/>
        <w:jc w:val="both"/>
        <w:rPr>
          <w:rFonts w:ascii="Calibri" w:hAnsi="Calibri" w:cs="Calibri"/>
          <w:color w:val="000000"/>
        </w:rPr>
      </w:pPr>
      <w:r w:rsidRPr="000E0A40">
        <w:rPr>
          <w:rFonts w:ascii="Calibri" w:hAnsi="Calibri" w:cs="Calibri"/>
          <w:color w:val="000000"/>
        </w:rPr>
        <w:t xml:space="preserve">The program eligibility form </w:t>
      </w:r>
      <w:r w:rsidR="00CF74A8" w:rsidRPr="000E0A40">
        <w:rPr>
          <w:rFonts w:ascii="Calibri" w:hAnsi="Calibri" w:cs="Calibri"/>
          <w:color w:val="000000"/>
        </w:rPr>
        <w:t>(Attachment A</w:t>
      </w:r>
      <w:r w:rsidRPr="000E0A40">
        <w:rPr>
          <w:rFonts w:ascii="Calibri" w:hAnsi="Calibri" w:cs="Calibri"/>
          <w:color w:val="000000"/>
        </w:rPr>
        <w:t xml:space="preserve">) </w:t>
      </w:r>
    </w:p>
    <w:p w14:paraId="295DF4E3" w14:textId="1F543F91" w:rsidR="00805A40" w:rsidRPr="00972F0E" w:rsidRDefault="00805A40" w:rsidP="00594BD4">
      <w:pPr>
        <w:pStyle w:val="ListParagraph"/>
        <w:numPr>
          <w:ilvl w:val="0"/>
          <w:numId w:val="12"/>
        </w:numPr>
        <w:autoSpaceDE w:val="0"/>
        <w:autoSpaceDN w:val="0"/>
        <w:adjustRightInd w:val="0"/>
        <w:spacing w:after="0" w:line="240" w:lineRule="auto"/>
        <w:jc w:val="both"/>
        <w:rPr>
          <w:rFonts w:ascii="Calibri" w:hAnsi="Calibri" w:cs="Calibri"/>
          <w:color w:val="000000"/>
        </w:rPr>
      </w:pPr>
      <w:r w:rsidRPr="00972F0E">
        <w:rPr>
          <w:rFonts w:ascii="Calibri" w:hAnsi="Calibri" w:cs="Calibri"/>
          <w:color w:val="000000"/>
        </w:rPr>
        <w:t>The three general eligibility criteria documentation,</w:t>
      </w:r>
      <w:r w:rsidR="003E2FD8">
        <w:rPr>
          <w:rFonts w:ascii="Calibri" w:hAnsi="Calibri" w:cs="Calibri"/>
          <w:color w:val="000000"/>
        </w:rPr>
        <w:t xml:space="preserve"> </w:t>
      </w:r>
      <w:r w:rsidRPr="00972F0E">
        <w:rPr>
          <w:rFonts w:ascii="Calibri" w:hAnsi="Calibri" w:cs="Calibri"/>
          <w:color w:val="000000"/>
        </w:rPr>
        <w:t xml:space="preserve">and </w:t>
      </w:r>
    </w:p>
    <w:p w14:paraId="1488677C" w14:textId="04BDF51C" w:rsidR="00805A40" w:rsidRDefault="00805A40" w:rsidP="00594BD4">
      <w:pPr>
        <w:pStyle w:val="ListParagraph"/>
        <w:numPr>
          <w:ilvl w:val="0"/>
          <w:numId w:val="12"/>
        </w:numPr>
        <w:autoSpaceDE w:val="0"/>
        <w:autoSpaceDN w:val="0"/>
        <w:adjustRightInd w:val="0"/>
        <w:spacing w:after="0" w:line="240" w:lineRule="auto"/>
        <w:jc w:val="both"/>
        <w:rPr>
          <w:rFonts w:ascii="Calibri" w:hAnsi="Calibri" w:cs="Calibri"/>
          <w:color w:val="000000"/>
        </w:rPr>
      </w:pPr>
      <w:r w:rsidRPr="00972F0E">
        <w:rPr>
          <w:rFonts w:ascii="Calibri" w:hAnsi="Calibri" w:cs="Calibri"/>
          <w:color w:val="000000"/>
        </w:rPr>
        <w:t xml:space="preserve">The designated eligibility criteria/data element source documentation from </w:t>
      </w:r>
      <w:bookmarkStart w:id="6" w:name="_Hlk25673343"/>
      <w:r>
        <w:rPr>
          <w:rFonts w:ascii="Calibri" w:hAnsi="Calibri" w:cs="Calibri"/>
          <w:color w:val="000000"/>
        </w:rPr>
        <w:t>OWDI 02-20</w:t>
      </w:r>
      <w:r w:rsidR="00E4773F">
        <w:rPr>
          <w:rFonts w:ascii="Calibri" w:hAnsi="Calibri" w:cs="Calibri"/>
          <w:color w:val="000000"/>
        </w:rPr>
        <w:t>1</w:t>
      </w:r>
      <w:r>
        <w:rPr>
          <w:rFonts w:ascii="Calibri" w:hAnsi="Calibri" w:cs="Calibri"/>
          <w:color w:val="000000"/>
        </w:rPr>
        <w:t>9</w:t>
      </w:r>
      <w:r w:rsidRPr="00972F0E">
        <w:rPr>
          <w:rFonts w:ascii="Calibri" w:hAnsi="Calibri" w:cs="Calibri"/>
          <w:color w:val="000000"/>
        </w:rPr>
        <w:t xml:space="preserve"> </w:t>
      </w:r>
      <w:bookmarkEnd w:id="6"/>
      <w:r w:rsidR="00B97CD6">
        <w:rPr>
          <w:rFonts w:ascii="Calibri" w:hAnsi="Calibri" w:cs="Calibri"/>
          <w:color w:val="000000"/>
        </w:rPr>
        <w:t>an</w:t>
      </w:r>
      <w:r w:rsidRPr="00972F0E">
        <w:rPr>
          <w:rFonts w:ascii="Calibri" w:hAnsi="Calibri" w:cs="Calibri"/>
          <w:color w:val="000000"/>
        </w:rPr>
        <w:t>notated for eligibility determination from the applicable program eligibility form. It is required to obtain and upload at least one source document for each applicable program eligibility element utilized in determining program eligibility. Some data elements may require more than one source document, noted by an “</w:t>
      </w:r>
      <w:r w:rsidRPr="00972F0E">
        <w:rPr>
          <w:rFonts w:ascii="Calibri" w:hAnsi="Calibri" w:cs="Calibri"/>
          <w:b/>
          <w:bCs/>
          <w:color w:val="000000"/>
        </w:rPr>
        <w:t>AND</w:t>
      </w:r>
      <w:r w:rsidRPr="00972F0E">
        <w:rPr>
          <w:rFonts w:ascii="Calibri" w:hAnsi="Calibri" w:cs="Calibri"/>
          <w:color w:val="000000"/>
        </w:rPr>
        <w:t xml:space="preserve">” in the Acceptable Source Document column. </w:t>
      </w:r>
    </w:p>
    <w:p w14:paraId="0670D3B2" w14:textId="77777777" w:rsidR="000E0A40" w:rsidRDefault="000E0A40" w:rsidP="00E007ED">
      <w:pPr>
        <w:pStyle w:val="ListParagraph"/>
        <w:autoSpaceDE w:val="0"/>
        <w:autoSpaceDN w:val="0"/>
        <w:adjustRightInd w:val="0"/>
        <w:spacing w:after="0" w:line="240" w:lineRule="auto"/>
        <w:ind w:left="1080"/>
        <w:jc w:val="both"/>
        <w:rPr>
          <w:rFonts w:ascii="Calibri" w:hAnsi="Calibri" w:cs="Calibri"/>
          <w:color w:val="000000"/>
        </w:rPr>
      </w:pPr>
    </w:p>
    <w:p w14:paraId="3374AC1B" w14:textId="1310E3B2" w:rsidR="00FB5253" w:rsidRPr="00416589" w:rsidRDefault="000E0A40" w:rsidP="00E007ED">
      <w:pPr>
        <w:pStyle w:val="Heading2"/>
        <w:numPr>
          <w:ilvl w:val="0"/>
          <w:numId w:val="0"/>
        </w:numPr>
        <w:jc w:val="both"/>
      </w:pPr>
      <w:r>
        <w:t>4.3</w:t>
      </w:r>
      <w:r>
        <w:tab/>
      </w:r>
      <w:r w:rsidR="00FB5253" w:rsidRPr="000607E8">
        <w:t>Adult/DLW Enrollment</w:t>
      </w:r>
    </w:p>
    <w:p w14:paraId="09C64314" w14:textId="3A85A297" w:rsidR="002F4DDD" w:rsidRDefault="00EC047F" w:rsidP="00E007ED">
      <w:pPr>
        <w:pStyle w:val="NoSpacing"/>
        <w:jc w:val="both"/>
      </w:pPr>
      <w:r w:rsidRPr="00E45C8B">
        <w:t xml:space="preserve">The enrollment process begins when an </w:t>
      </w:r>
      <w:proofErr w:type="gramStart"/>
      <w:r w:rsidRPr="00E45C8B">
        <w:t xml:space="preserve">individual </w:t>
      </w:r>
      <w:r w:rsidR="00416589">
        <w:t>self-registers</w:t>
      </w:r>
      <w:proofErr w:type="gramEnd"/>
      <w:r w:rsidR="00416589">
        <w:t xml:space="preserve"> </w:t>
      </w:r>
      <w:r w:rsidRPr="00E45C8B">
        <w:t xml:space="preserve">in the virtual case </w:t>
      </w:r>
      <w:r w:rsidR="00416589">
        <w:t>management system,</w:t>
      </w:r>
      <w:r w:rsidRPr="00E45C8B">
        <w:t xml:space="preserve"> known as OKJobMatch. Once the self-registration has been completed, the demographic</w:t>
      </w:r>
      <w:r w:rsidR="00B1153F">
        <w:t xml:space="preserve"> </w:t>
      </w:r>
      <w:r w:rsidRPr="00E45C8B">
        <w:t xml:space="preserve">information entered will generate a potential eligibility determination. </w:t>
      </w:r>
      <w:r w:rsidR="00C54324" w:rsidRPr="00E45C8B">
        <w:t>All applicable demographic</w:t>
      </w:r>
      <w:r w:rsidR="000607E8">
        <w:t xml:space="preserve"> </w:t>
      </w:r>
      <w:r w:rsidR="00C54324" w:rsidRPr="00E45C8B">
        <w:t xml:space="preserve">information </w:t>
      </w:r>
      <w:r w:rsidR="00394922" w:rsidRPr="00E45C8B">
        <w:t>for determining Adult or DLW program eligibility is entered in the Universal</w:t>
      </w:r>
      <w:r w:rsidR="000607E8">
        <w:t xml:space="preserve"> </w:t>
      </w:r>
      <w:r w:rsidR="00394922" w:rsidRPr="00E45C8B">
        <w:t>Demographic Screen in OKJobMatch.</w:t>
      </w:r>
      <w:r w:rsidR="00DA742B">
        <w:t xml:space="preserve"> </w:t>
      </w:r>
      <w:bookmarkStart w:id="7" w:name="_Hlk528054320"/>
      <w:r w:rsidR="006D6A56">
        <w:t>(</w:t>
      </w:r>
      <w:r w:rsidR="006D6A56" w:rsidRPr="00555D61">
        <w:t xml:space="preserve">See </w:t>
      </w:r>
      <w:r w:rsidR="001837BC">
        <w:t xml:space="preserve">OOWD </w:t>
      </w:r>
      <w:r w:rsidR="006D6A56">
        <w:t>Data Validation</w:t>
      </w:r>
      <w:r w:rsidR="001837BC">
        <w:t xml:space="preserve"> Policy</w:t>
      </w:r>
      <w:r w:rsidR="006D6A56">
        <w:t xml:space="preserve"> for</w:t>
      </w:r>
      <w:r w:rsidR="000607E8">
        <w:t xml:space="preserve"> </w:t>
      </w:r>
      <w:r w:rsidR="006D6A56">
        <w:t>documentation requirements.)</w:t>
      </w:r>
    </w:p>
    <w:bookmarkEnd w:id="7"/>
    <w:p w14:paraId="4BEC40E5" w14:textId="77777777" w:rsidR="002F4DDD" w:rsidRDefault="002F4DDD" w:rsidP="00E007ED">
      <w:pPr>
        <w:pStyle w:val="NoSpacing"/>
        <w:jc w:val="both"/>
        <w:rPr>
          <w:rFonts w:cstheme="minorHAnsi"/>
          <w:color w:val="000000"/>
        </w:rPr>
      </w:pPr>
    </w:p>
    <w:p w14:paraId="445725B1" w14:textId="6079A7E6" w:rsidR="002F4DDD" w:rsidRDefault="00E12E7B" w:rsidP="00E007ED">
      <w:pPr>
        <w:pStyle w:val="NoSpacing"/>
        <w:jc w:val="both"/>
        <w:rPr>
          <w:rFonts w:cstheme="minorHAnsi"/>
        </w:rPr>
      </w:pPr>
      <w:r w:rsidRPr="0033273D">
        <w:rPr>
          <w:rFonts w:cstheme="minorHAnsi"/>
          <w:color w:val="000000"/>
        </w:rPr>
        <w:t>S</w:t>
      </w:r>
      <w:r w:rsidR="00EC047F" w:rsidRPr="0033273D">
        <w:rPr>
          <w:rFonts w:cstheme="minorHAnsi"/>
          <w:color w:val="000000"/>
        </w:rPr>
        <w:t xml:space="preserve">taff must then meet with the applicant to review a </w:t>
      </w:r>
      <w:r w:rsidR="00EC047F" w:rsidRPr="0033273D">
        <w:rPr>
          <w:rFonts w:cstheme="minorHAnsi"/>
        </w:rPr>
        <w:t>snapshot of the information entered</w:t>
      </w:r>
      <w:r w:rsidR="00394922" w:rsidRPr="0033273D">
        <w:rPr>
          <w:rFonts w:cstheme="minorHAnsi"/>
        </w:rPr>
        <w:t xml:space="preserve"> in OKJobMatch</w:t>
      </w:r>
      <w:r w:rsidR="00EC047F" w:rsidRPr="0033273D">
        <w:rPr>
          <w:rFonts w:cstheme="minorHAnsi"/>
        </w:rPr>
        <w:t>.</w:t>
      </w:r>
      <w:r w:rsidR="00EC047F" w:rsidRPr="0033273D">
        <w:rPr>
          <w:rFonts w:cstheme="minorHAnsi"/>
          <w:color w:val="000000"/>
        </w:rPr>
        <w:t xml:space="preserve"> </w:t>
      </w:r>
      <w:r w:rsidR="00EC047F" w:rsidRPr="0033273D">
        <w:rPr>
          <w:rFonts w:cstheme="minorHAnsi"/>
        </w:rPr>
        <w:t>The demographic information must be verified as accurate by the applicant’s virtual self-attestation</w:t>
      </w:r>
      <w:r w:rsidR="00B97CD6">
        <w:rPr>
          <w:rFonts w:cstheme="minorHAnsi"/>
        </w:rPr>
        <w:t xml:space="preserve"> </w:t>
      </w:r>
      <w:r w:rsidR="00EC047F" w:rsidRPr="0033273D">
        <w:rPr>
          <w:rFonts w:cstheme="minorHAnsi"/>
        </w:rPr>
        <w:t>prior to</w:t>
      </w:r>
      <w:r w:rsidR="00E86D4E">
        <w:rPr>
          <w:rFonts w:cstheme="minorHAnsi"/>
        </w:rPr>
        <w:t xml:space="preserve"> </w:t>
      </w:r>
      <w:r w:rsidR="00EC047F" w:rsidRPr="0033273D">
        <w:rPr>
          <w:rFonts w:cstheme="minorHAnsi"/>
        </w:rPr>
        <w:t>staff entering the program enrollment, as the characteristics in the snapshot will remain unchanged throughout program participation.</w:t>
      </w:r>
      <w:r w:rsidR="00EC047F" w:rsidRPr="0033273D">
        <w:rPr>
          <w:rFonts w:cstheme="minorHAnsi"/>
          <w:color w:val="000000"/>
        </w:rPr>
        <w:t xml:space="preserve"> Additional information needed to determine eligibility must be requested at this time. </w:t>
      </w:r>
      <w:r w:rsidR="00EC047F" w:rsidRPr="0033273D">
        <w:rPr>
          <w:rFonts w:cstheme="minorHAnsi"/>
        </w:rPr>
        <w:t xml:space="preserve">Appropriate documentation of the information used to qualify the individual as eligible for enrollment in a WIOA </w:t>
      </w:r>
      <w:r w:rsidR="00394922" w:rsidRPr="0033273D">
        <w:rPr>
          <w:rFonts w:cstheme="minorHAnsi"/>
        </w:rPr>
        <w:t xml:space="preserve">Adult or DLW </w:t>
      </w:r>
      <w:r w:rsidR="00EC047F" w:rsidRPr="0033273D">
        <w:rPr>
          <w:rFonts w:cstheme="minorHAnsi"/>
        </w:rPr>
        <w:t xml:space="preserve">program must be uploaded into the participant’s virtual case file. </w:t>
      </w:r>
      <w:r w:rsidR="002F4DDD">
        <w:rPr>
          <w:rFonts w:cstheme="minorHAnsi"/>
        </w:rPr>
        <w:t xml:space="preserve">(See </w:t>
      </w:r>
      <w:r w:rsidR="00E86D4E">
        <w:rPr>
          <w:rFonts w:cstheme="minorHAnsi"/>
        </w:rPr>
        <w:t>OOWD</w:t>
      </w:r>
      <w:r w:rsidR="00682819" w:rsidRPr="00972F0E">
        <w:rPr>
          <w:rFonts w:ascii="Calibri" w:hAnsi="Calibri" w:cs="Calibri"/>
          <w:color w:val="000000"/>
        </w:rPr>
        <w:t xml:space="preserve"> </w:t>
      </w:r>
      <w:r w:rsidR="002F4DDD">
        <w:rPr>
          <w:rFonts w:cstheme="minorHAnsi"/>
        </w:rPr>
        <w:t>Data Validation</w:t>
      </w:r>
      <w:r w:rsidR="00E86D4E">
        <w:rPr>
          <w:rFonts w:cstheme="minorHAnsi"/>
        </w:rPr>
        <w:t xml:space="preserve"> Policy</w:t>
      </w:r>
      <w:r w:rsidR="002F4DDD">
        <w:rPr>
          <w:rFonts w:cstheme="minorHAnsi"/>
        </w:rPr>
        <w:t xml:space="preserve"> for documentation requirements.)</w:t>
      </w:r>
    </w:p>
    <w:p w14:paraId="4693E08C" w14:textId="321A47E2" w:rsidR="00ED06DD" w:rsidRDefault="00ED06DD" w:rsidP="00E007ED">
      <w:pPr>
        <w:autoSpaceDE w:val="0"/>
        <w:autoSpaceDN w:val="0"/>
        <w:adjustRightInd w:val="0"/>
        <w:spacing w:after="0"/>
        <w:jc w:val="both"/>
        <w:rPr>
          <w:rFonts w:cstheme="minorHAnsi"/>
          <w:color w:val="000000"/>
          <w:u w:val="single"/>
        </w:rPr>
      </w:pPr>
      <w:bookmarkStart w:id="8" w:name="_Hlk529187186"/>
    </w:p>
    <w:p w14:paraId="3B0B66A0" w14:textId="24D2658E" w:rsidR="00713859" w:rsidRDefault="000E0A40" w:rsidP="00E007ED">
      <w:pPr>
        <w:pStyle w:val="Heading2"/>
        <w:numPr>
          <w:ilvl w:val="0"/>
          <w:numId w:val="0"/>
        </w:numPr>
        <w:jc w:val="both"/>
      </w:pPr>
      <w:r>
        <w:t>4.4</w:t>
      </w:r>
      <w:r>
        <w:tab/>
      </w:r>
      <w:r w:rsidR="00713859">
        <w:t>Priority of Service</w:t>
      </w:r>
      <w:r w:rsidR="003A4BC8">
        <w:t xml:space="preserve"> Determination</w:t>
      </w:r>
    </w:p>
    <w:p w14:paraId="5734CBF1" w14:textId="362B1E69" w:rsidR="00D71524" w:rsidRPr="000E0A40" w:rsidRDefault="003A4BC8" w:rsidP="00E007ED">
      <w:pPr>
        <w:pStyle w:val="NoSpacing"/>
        <w:jc w:val="both"/>
      </w:pPr>
      <w:r w:rsidRPr="000E0A40">
        <w:t>The NEWDB operates in a continuous priority of service status when determining eligibility for Adult service</w:t>
      </w:r>
      <w:r w:rsidR="00D71524" w:rsidRPr="000E0A40">
        <w:t>s</w:t>
      </w:r>
      <w:r w:rsidRPr="000E0A40">
        <w:t xml:space="preserve"> under WIOA. </w:t>
      </w:r>
      <w:r w:rsidR="00D71524" w:rsidRPr="000E0A40">
        <w:t xml:space="preserve"> Under WIOA, priority of service must be implemented regardless of the level of funds available to provide services in </w:t>
      </w:r>
      <w:r w:rsidR="00F22E9C" w:rsidRPr="000E0A40">
        <w:t xml:space="preserve">the </w:t>
      </w:r>
      <w:r w:rsidR="00955476" w:rsidRPr="000E0A40">
        <w:t>Northeast Workforce Development Area.</w:t>
      </w:r>
      <w:r w:rsidR="00D71524" w:rsidRPr="000E0A40">
        <w:t xml:space="preserve"> </w:t>
      </w:r>
      <w:r w:rsidR="00955476" w:rsidRPr="000E0A40">
        <w:t xml:space="preserve"> In determining priority of services CM’s must determine eligibility by 1) low-income and; 2) Veteran</w:t>
      </w:r>
      <w:r w:rsidR="00CD2409" w:rsidRPr="000E0A40">
        <w:t xml:space="preserve"> and eligible spouse).  </w:t>
      </w:r>
      <w:r w:rsidR="00117BC7" w:rsidRPr="000E0A40">
        <w:t>Priority of service determination includes the following:</w:t>
      </w:r>
    </w:p>
    <w:p w14:paraId="2A4BF032" w14:textId="66919C5D" w:rsidR="00D71524" w:rsidRDefault="00955476" w:rsidP="003A4BC8">
      <w:pPr>
        <w:pStyle w:val="Default"/>
        <w:ind w:left="360"/>
        <w:rPr>
          <w:rFonts w:asciiTheme="minorHAnsi" w:hAnsiTheme="minorHAnsi" w:cstheme="minorHAnsi"/>
          <w:sz w:val="22"/>
          <w:szCs w:val="22"/>
        </w:rPr>
      </w:pPr>
      <w:r>
        <w:rPr>
          <w:rFonts w:asciiTheme="minorHAnsi" w:hAnsiTheme="minorHAnsi" w:cstheme="minorHAnsi"/>
          <w:sz w:val="22"/>
          <w:szCs w:val="22"/>
        </w:rPr>
        <w:t xml:space="preserve"> </w:t>
      </w:r>
    </w:p>
    <w:p w14:paraId="693DF66E" w14:textId="344469AD" w:rsidR="00117BC7" w:rsidRPr="005266D3" w:rsidRDefault="00117BC7" w:rsidP="005266D3">
      <w:pPr>
        <w:pStyle w:val="Heading3"/>
      </w:pPr>
      <w:r w:rsidRPr="005266D3">
        <w:t>The Statutory Priority for Adult Funds</w:t>
      </w:r>
    </w:p>
    <w:p w14:paraId="6089986E" w14:textId="6BC486DD" w:rsidR="003A4BC8" w:rsidRDefault="003A4BC8" w:rsidP="005266D3">
      <w:pPr>
        <w:ind w:left="612"/>
        <w:jc w:val="both"/>
        <w:rPr>
          <w:rFonts w:cstheme="minorHAnsi"/>
          <w:b/>
        </w:rPr>
      </w:pPr>
      <w:r w:rsidRPr="005268F8">
        <w:t xml:space="preserve">Section 134(c)(3)(E) of WIOA establishes a priority requirement with respect to funds allocated to </w:t>
      </w:r>
      <w:r w:rsidR="008157EE">
        <w:t>NEWDA</w:t>
      </w:r>
      <w:r w:rsidR="008157EE" w:rsidRPr="005268F8">
        <w:t xml:space="preserve"> </w:t>
      </w:r>
      <w:r w:rsidRPr="005268F8">
        <w:t xml:space="preserve">for </w:t>
      </w:r>
      <w:r w:rsidR="00B23737">
        <w:t>A</w:t>
      </w:r>
      <w:r w:rsidRPr="005268F8">
        <w:t xml:space="preserve">dult employment and training activities.  When using WIOA Adult funds to provide individualized career services and/or training services, Oklahoma Works </w:t>
      </w:r>
      <w:r w:rsidR="00163210">
        <w:t>AJC</w:t>
      </w:r>
      <w:r w:rsidRPr="005268F8">
        <w:t xml:space="preserve"> staff must give priority to</w:t>
      </w:r>
      <w:r w:rsidR="001676AD">
        <w:t xml:space="preserve">, </w:t>
      </w:r>
      <w:r w:rsidRPr="005268F8">
        <w:t>public assistance recipients, other low-income individuals (as defined in WIOA Section 3(36)), and individuals who are basic skills deficient (as defined in WIOA 3(5)).  English language learners meet the criteria for “basic skills deficient” and must be included in the priority populations for the</w:t>
      </w:r>
      <w:r w:rsidR="00AD5F5D">
        <w:t xml:space="preserve"> T</w:t>
      </w:r>
      <w:r w:rsidRPr="005268F8">
        <w:t>itle I Adult program</w:t>
      </w:r>
      <w:r w:rsidR="00204FF0">
        <w:t xml:space="preserve"> (See NEWDB Priority of Service Policy </w:t>
      </w:r>
      <w:r w:rsidR="00D71524">
        <w:t>income eligibility requirements).</w:t>
      </w:r>
      <w:r w:rsidRPr="005268F8">
        <w:t xml:space="preserve">  </w:t>
      </w:r>
      <w:bookmarkEnd w:id="8"/>
    </w:p>
    <w:p w14:paraId="6BA4B84C" w14:textId="7C5FA2BB" w:rsidR="00ED06DD" w:rsidRPr="00C11834" w:rsidRDefault="00ED06DD" w:rsidP="005266D3">
      <w:pPr>
        <w:pStyle w:val="Heading3"/>
        <w:jc w:val="both"/>
      </w:pPr>
      <w:r w:rsidRPr="00C11834">
        <w:t>Priority Populations under WIOA</w:t>
      </w:r>
    </w:p>
    <w:p w14:paraId="74F2C56A" w14:textId="4551650D" w:rsidR="00ED06DD" w:rsidRPr="00C11834" w:rsidRDefault="00ED06DD" w:rsidP="005266D3">
      <w:pPr>
        <w:ind w:left="612"/>
        <w:jc w:val="both"/>
      </w:pPr>
      <w:r w:rsidRPr="00C11834">
        <w:t xml:space="preserve">Across all titles, WIOA focuses on serving individuals with barriers to employment and seeks to ensure access to quality services for these populations.  Priority and special populations for the Adult and DLW programs are addressed at 20 CFR </w:t>
      </w:r>
      <w:r w:rsidRPr="00C11834">
        <w:rPr>
          <w:bCs/>
        </w:rPr>
        <w:t xml:space="preserve">§§ </w:t>
      </w:r>
      <w:r w:rsidRPr="00C11834">
        <w:t xml:space="preserve">680.600 through .660. </w:t>
      </w:r>
    </w:p>
    <w:p w14:paraId="208C6926" w14:textId="77777777" w:rsidR="00ED06DD" w:rsidRPr="00C11834" w:rsidRDefault="00ED06DD" w:rsidP="005266D3">
      <w:pPr>
        <w:ind w:left="612"/>
        <w:jc w:val="both"/>
      </w:pPr>
      <w:r w:rsidRPr="00C11834">
        <w:t xml:space="preserve">The term “individual with a barrier to employment” means a member of one or more of the following populations: </w:t>
      </w:r>
    </w:p>
    <w:p w14:paraId="3B9031EE" w14:textId="2D435ABD" w:rsidR="00ED06DD" w:rsidRDefault="00ED06DD" w:rsidP="00594BD4">
      <w:pPr>
        <w:pStyle w:val="ListParagraph"/>
        <w:numPr>
          <w:ilvl w:val="0"/>
          <w:numId w:val="13"/>
        </w:numPr>
        <w:jc w:val="both"/>
      </w:pPr>
      <w:r w:rsidRPr="00C11834">
        <w:t xml:space="preserve">Low-income individuals; </w:t>
      </w:r>
    </w:p>
    <w:p w14:paraId="0BFCCF5E" w14:textId="461911EC" w:rsidR="007E1625" w:rsidRPr="00C11834" w:rsidRDefault="007E1625" w:rsidP="00594BD4">
      <w:pPr>
        <w:pStyle w:val="ListParagraph"/>
        <w:numPr>
          <w:ilvl w:val="0"/>
          <w:numId w:val="13"/>
        </w:numPr>
        <w:jc w:val="both"/>
      </w:pPr>
      <w:r>
        <w:t>Veterans and Eligible Spouses</w:t>
      </w:r>
    </w:p>
    <w:p w14:paraId="25D85559" w14:textId="77777777" w:rsidR="00ED06DD" w:rsidRPr="00C11834" w:rsidRDefault="00ED06DD" w:rsidP="00594BD4">
      <w:pPr>
        <w:pStyle w:val="ListParagraph"/>
        <w:numPr>
          <w:ilvl w:val="0"/>
          <w:numId w:val="13"/>
        </w:numPr>
        <w:jc w:val="both"/>
      </w:pPr>
      <w:r w:rsidRPr="00C11834">
        <w:t xml:space="preserve">Indians, Alaska Natives, and Native Hawaiians; </w:t>
      </w:r>
    </w:p>
    <w:p w14:paraId="774F01A8" w14:textId="77777777" w:rsidR="00ED06DD" w:rsidRPr="00C11834" w:rsidRDefault="00ED06DD" w:rsidP="00594BD4">
      <w:pPr>
        <w:pStyle w:val="ListParagraph"/>
        <w:numPr>
          <w:ilvl w:val="0"/>
          <w:numId w:val="13"/>
        </w:numPr>
        <w:jc w:val="both"/>
      </w:pPr>
      <w:r w:rsidRPr="00C11834">
        <w:t xml:space="preserve">Individuals with disabilities, including youth who are individuals with disabilities (as defined in </w:t>
      </w:r>
      <w:r w:rsidRPr="00C11834">
        <w:rPr>
          <w:bCs/>
        </w:rPr>
        <w:t>sec.</w:t>
      </w:r>
      <w:r w:rsidRPr="00C11834">
        <w:t xml:space="preserve"> 3 of the Americans with Disabilities Act of 1990 (42 USC 12102) and individuals who are in receipt of Social Security Disability Insurance); </w:t>
      </w:r>
    </w:p>
    <w:p w14:paraId="2CFF916E" w14:textId="77777777" w:rsidR="00ED06DD" w:rsidRPr="00C11834" w:rsidRDefault="00ED06DD" w:rsidP="00594BD4">
      <w:pPr>
        <w:pStyle w:val="ListParagraph"/>
        <w:numPr>
          <w:ilvl w:val="0"/>
          <w:numId w:val="13"/>
        </w:numPr>
        <w:jc w:val="both"/>
      </w:pPr>
      <w:r w:rsidRPr="00C11834">
        <w:t xml:space="preserve">Older individuals (age 55 and older); </w:t>
      </w:r>
    </w:p>
    <w:p w14:paraId="1937C72F" w14:textId="77777777" w:rsidR="006C539D" w:rsidRDefault="006C539D" w:rsidP="00594BD4">
      <w:pPr>
        <w:pStyle w:val="ListParagraph"/>
        <w:numPr>
          <w:ilvl w:val="0"/>
          <w:numId w:val="13"/>
        </w:numPr>
        <w:jc w:val="both"/>
      </w:pPr>
      <w:r w:rsidRPr="00C11834">
        <w:t>Ex-offenders;</w:t>
      </w:r>
      <w:r w:rsidRPr="006C539D">
        <w:t xml:space="preserve"> </w:t>
      </w:r>
    </w:p>
    <w:p w14:paraId="1C9A8B47" w14:textId="77777777" w:rsidR="006C539D" w:rsidRDefault="006C539D" w:rsidP="00594BD4">
      <w:pPr>
        <w:pStyle w:val="ListParagraph"/>
        <w:numPr>
          <w:ilvl w:val="0"/>
          <w:numId w:val="13"/>
        </w:numPr>
        <w:jc w:val="both"/>
      </w:pPr>
      <w:r w:rsidRPr="006C539D">
        <w:t xml:space="preserve">Displaced homemakers; </w:t>
      </w:r>
    </w:p>
    <w:p w14:paraId="7CB4F75B" w14:textId="4393EA91" w:rsidR="00ED06DD" w:rsidRPr="006C539D" w:rsidRDefault="006C539D" w:rsidP="00594BD4">
      <w:pPr>
        <w:pStyle w:val="ListParagraph"/>
        <w:numPr>
          <w:ilvl w:val="0"/>
          <w:numId w:val="13"/>
        </w:numPr>
        <w:jc w:val="both"/>
      </w:pPr>
      <w:r w:rsidRPr="006C539D">
        <w:t>Homeless</w:t>
      </w:r>
      <w:r w:rsidR="00ED06DD" w:rsidRPr="006C539D">
        <w:t xml:space="preserve"> individuals (as defined in section 41403(6) of the Violence Against Women Act of 1994 (42 U.S.C. 14043e-2(6))), or homeless children and youths (as defined in section 725(2) of the McKinney-Vento Homeless Assistance Act (42 U.S.C. 11434</w:t>
      </w:r>
      <w:proofErr w:type="gramStart"/>
      <w:r w:rsidR="00ED06DD" w:rsidRPr="006C539D">
        <w:t>a(</w:t>
      </w:r>
      <w:proofErr w:type="gramEnd"/>
      <w:r w:rsidR="00ED06DD" w:rsidRPr="006C539D">
        <w:t>2)));</w:t>
      </w:r>
    </w:p>
    <w:p w14:paraId="45824C21" w14:textId="77777777" w:rsidR="00ED06DD" w:rsidRPr="00C11834" w:rsidRDefault="00ED06DD" w:rsidP="00594BD4">
      <w:pPr>
        <w:pStyle w:val="ListParagraph"/>
        <w:numPr>
          <w:ilvl w:val="0"/>
          <w:numId w:val="13"/>
        </w:numPr>
        <w:jc w:val="both"/>
      </w:pPr>
      <w:r w:rsidRPr="00C11834">
        <w:t xml:space="preserve">Youth who are in or have aged out of the foster care system; </w:t>
      </w:r>
    </w:p>
    <w:p w14:paraId="32AF6162" w14:textId="77777777" w:rsidR="00ED06DD" w:rsidRPr="00C11834" w:rsidRDefault="00ED06DD" w:rsidP="00594BD4">
      <w:pPr>
        <w:pStyle w:val="ListParagraph"/>
        <w:numPr>
          <w:ilvl w:val="0"/>
          <w:numId w:val="13"/>
        </w:numPr>
        <w:jc w:val="both"/>
      </w:pPr>
      <w:r w:rsidRPr="00C11834">
        <w:lastRenderedPageBreak/>
        <w:t xml:space="preserve">Individuals who are: </w:t>
      </w:r>
    </w:p>
    <w:p w14:paraId="0D37CCD0" w14:textId="77777777" w:rsidR="00ED06DD" w:rsidRPr="00C11834" w:rsidRDefault="00ED06DD" w:rsidP="00594BD4">
      <w:pPr>
        <w:pStyle w:val="ListParagraph"/>
        <w:numPr>
          <w:ilvl w:val="1"/>
          <w:numId w:val="13"/>
        </w:numPr>
        <w:jc w:val="both"/>
      </w:pPr>
      <w:r w:rsidRPr="00C11834">
        <w:t xml:space="preserve">English language learners (29 USC 3272(7)); </w:t>
      </w:r>
    </w:p>
    <w:p w14:paraId="30B903BB" w14:textId="77777777" w:rsidR="00ED06DD" w:rsidRPr="00C11834" w:rsidRDefault="00ED06DD" w:rsidP="00594BD4">
      <w:pPr>
        <w:pStyle w:val="ListParagraph"/>
        <w:numPr>
          <w:ilvl w:val="1"/>
          <w:numId w:val="13"/>
        </w:numPr>
        <w:jc w:val="both"/>
      </w:pPr>
      <w:r w:rsidRPr="00C11834">
        <w:t xml:space="preserve">Individuals who have low levels of literacy (for example, an individual who is unable to compute or solve programs, or read, write, or speak English at a level necessary to function on the job, or in the individual’s family, or in society); and </w:t>
      </w:r>
    </w:p>
    <w:p w14:paraId="44D0F14E" w14:textId="77777777" w:rsidR="00ED06DD" w:rsidRPr="00C11834" w:rsidRDefault="00ED06DD" w:rsidP="00594BD4">
      <w:pPr>
        <w:pStyle w:val="ListParagraph"/>
        <w:numPr>
          <w:ilvl w:val="1"/>
          <w:numId w:val="13"/>
        </w:numPr>
        <w:jc w:val="both"/>
      </w:pPr>
      <w:r w:rsidRPr="00C11834">
        <w:t xml:space="preserve">Individuals facing substantial cultural barriers; </w:t>
      </w:r>
    </w:p>
    <w:p w14:paraId="1EC6050B" w14:textId="77777777" w:rsidR="00ED06DD" w:rsidRPr="00C11834" w:rsidRDefault="00ED06DD" w:rsidP="00594BD4">
      <w:pPr>
        <w:pStyle w:val="ListParagraph"/>
        <w:numPr>
          <w:ilvl w:val="0"/>
          <w:numId w:val="13"/>
        </w:numPr>
        <w:jc w:val="both"/>
      </w:pPr>
      <w:r w:rsidRPr="00C11834">
        <w:t>Eligible migrant and seasonal farmworkers (as defined in WIOA 167(</w:t>
      </w:r>
      <w:proofErr w:type="spellStart"/>
      <w:r w:rsidRPr="00C11834">
        <w:t>i</w:t>
      </w:r>
      <w:proofErr w:type="spellEnd"/>
      <w:proofErr w:type="gramStart"/>
      <w:r w:rsidRPr="00C11834">
        <w:t>)(</w:t>
      </w:r>
      <w:proofErr w:type="gramEnd"/>
      <w:r w:rsidRPr="00C11834">
        <w:t xml:space="preserve">1-3); </w:t>
      </w:r>
    </w:p>
    <w:p w14:paraId="628C294D" w14:textId="77777777" w:rsidR="006C539D" w:rsidRDefault="00ED06DD" w:rsidP="00594BD4">
      <w:pPr>
        <w:pStyle w:val="ListParagraph"/>
        <w:numPr>
          <w:ilvl w:val="0"/>
          <w:numId w:val="13"/>
        </w:numPr>
        <w:jc w:val="both"/>
      </w:pPr>
      <w:r w:rsidRPr="00C11834">
        <w:t xml:space="preserve">Individuals within two years of exhausting lifetime TANF </w:t>
      </w:r>
    </w:p>
    <w:p w14:paraId="2B7BDEAB" w14:textId="158D2333" w:rsidR="00ED06DD" w:rsidRPr="006C539D" w:rsidRDefault="006C539D" w:rsidP="00594BD4">
      <w:pPr>
        <w:pStyle w:val="ListParagraph"/>
        <w:numPr>
          <w:ilvl w:val="0"/>
          <w:numId w:val="13"/>
        </w:numPr>
        <w:jc w:val="both"/>
      </w:pPr>
      <w:r w:rsidRPr="006C539D">
        <w:t>Single</w:t>
      </w:r>
      <w:r w:rsidR="00ED06DD" w:rsidRPr="006C539D">
        <w:t xml:space="preserve"> parents (including single pregnant women); and</w:t>
      </w:r>
    </w:p>
    <w:p w14:paraId="4A1A0669" w14:textId="77777777" w:rsidR="00ED06DD" w:rsidRPr="00C11834" w:rsidRDefault="00ED06DD" w:rsidP="00594BD4">
      <w:pPr>
        <w:pStyle w:val="ListParagraph"/>
        <w:numPr>
          <w:ilvl w:val="0"/>
          <w:numId w:val="13"/>
        </w:numPr>
        <w:jc w:val="both"/>
      </w:pPr>
      <w:r w:rsidRPr="00C11834">
        <w:t xml:space="preserve">Long-term unemployed individuals (unemployed for 27 or more consecutive weeks). </w:t>
      </w:r>
    </w:p>
    <w:p w14:paraId="5A16DE76" w14:textId="2BD81180" w:rsidR="00ED06DD" w:rsidRDefault="00ED06DD" w:rsidP="005266D3">
      <w:pPr>
        <w:pStyle w:val="Heading3"/>
      </w:pPr>
      <w:bookmarkStart w:id="9" w:name="_Hlk528927362"/>
      <w:r w:rsidRPr="00ED06DD">
        <w:t>Veterans and Adult Priority</w:t>
      </w:r>
    </w:p>
    <w:p w14:paraId="5875B04C" w14:textId="643ED8FA" w:rsidR="00ED06DD" w:rsidRPr="005266D3" w:rsidRDefault="00ED06DD" w:rsidP="005266D3">
      <w:pPr>
        <w:ind w:left="612"/>
        <w:jc w:val="both"/>
        <w:rPr>
          <w:b/>
          <w:color w:val="000000"/>
        </w:rPr>
      </w:pPr>
      <w:r w:rsidRPr="005266D3">
        <w:t xml:space="preserve">Veterans and eligible spouses continue to receive priority of service for all DOL-funded employment training programs, which include WIOA programs.  As for the DLW program, the </w:t>
      </w:r>
      <w:r w:rsidRPr="005266D3">
        <w:rPr>
          <w:u w:val="single"/>
        </w:rPr>
        <w:t>only</w:t>
      </w:r>
      <w:r w:rsidRPr="005266D3">
        <w:t xml:space="preserve"> priority of service is the veteran’s priority of service.  </w:t>
      </w:r>
      <w:r w:rsidRPr="005266D3">
        <w:rPr>
          <w:color w:val="000000"/>
        </w:rPr>
        <w:t xml:space="preserve">A veteran must, however, meet each program’s eligibility criteria to receive services under the respective employment and training program.  For income-based eligibility determinations and for determining priority of service, military pay or allowances paid while on active duty or paid by the Department of Veterans Affairs (VA) for vocational rehabilitation, disability payments, or related VA-funded programs are not to be considered as income, in accordance with 38 U.S.C. 4213 and 20 CFR </w:t>
      </w:r>
      <w:r w:rsidRPr="005266D3">
        <w:rPr>
          <w:bCs/>
        </w:rPr>
        <w:t xml:space="preserve">§ </w:t>
      </w:r>
      <w:r w:rsidRPr="005266D3">
        <w:rPr>
          <w:color w:val="000000"/>
        </w:rPr>
        <w:t xml:space="preserve">683.230. </w:t>
      </w:r>
    </w:p>
    <w:p w14:paraId="35F92E46" w14:textId="5BBBE703" w:rsidR="00ED06DD" w:rsidRPr="00C11834" w:rsidRDefault="00ED06DD" w:rsidP="005266D3">
      <w:pPr>
        <w:ind w:left="612"/>
        <w:jc w:val="both"/>
        <w:rPr>
          <w:color w:val="000000"/>
        </w:rPr>
      </w:pPr>
      <w:r w:rsidRPr="00C11834">
        <w:rPr>
          <w:color w:val="000000"/>
        </w:rPr>
        <w:t xml:space="preserve">When </w:t>
      </w:r>
      <w:r w:rsidRPr="00383C29">
        <w:rPr>
          <w:color w:val="000000"/>
        </w:rPr>
        <w:t xml:space="preserve">past </w:t>
      </w:r>
      <w:r w:rsidRPr="00C11834">
        <w:rPr>
          <w:color w:val="000000"/>
        </w:rPr>
        <w:t xml:space="preserve">income is an eligibility determinant for any </w:t>
      </w:r>
      <w:r w:rsidR="00AD5F5D">
        <w:rPr>
          <w:color w:val="000000"/>
        </w:rPr>
        <w:t>f</w:t>
      </w:r>
      <w:r w:rsidRPr="00C11834">
        <w:rPr>
          <w:color w:val="000000"/>
        </w:rPr>
        <w:t xml:space="preserve">ederal employment or training program, including the </w:t>
      </w:r>
      <w:r w:rsidR="00AD5F5D">
        <w:rPr>
          <w:color w:val="000000"/>
        </w:rPr>
        <w:t>T</w:t>
      </w:r>
      <w:r w:rsidRPr="00C11834">
        <w:rPr>
          <w:color w:val="000000"/>
        </w:rPr>
        <w:t xml:space="preserve">itle I Adult and DLW programs, any amounts received as military pay or allowances by any person who served on active duty and certain other specified benefits, must be disregarded in making an eligibility determination.  This applies to the veteran and to other individuals for whom those amounts would normally be applied, e.g., the military spouse.  Military earnings are not to be included when calculating income for veterans or transitioning service members for priority of service, in accordance with 38 U.S.C. 4213. </w:t>
      </w:r>
    </w:p>
    <w:p w14:paraId="33710507" w14:textId="77777777" w:rsidR="00ED06DD" w:rsidRPr="00C11834" w:rsidRDefault="00ED06DD" w:rsidP="005266D3">
      <w:pPr>
        <w:ind w:left="612"/>
        <w:jc w:val="both"/>
        <w:rPr>
          <w:color w:val="000000"/>
        </w:rPr>
      </w:pPr>
      <w:r w:rsidRPr="00C11834">
        <w:rPr>
          <w:color w:val="000000"/>
        </w:rPr>
        <w:t xml:space="preserve">To further clarify, </w:t>
      </w:r>
      <w:r w:rsidRPr="00C11834">
        <w:t>VA benefits for education and training services do not constitute “other grant assistance” under WIOA’s eligibility requirements.  Therefore, eligibility for VA benefits for education or training services do not preclude a veteran or the veteran’s eligible spouse from receiving WIOA funded services, including training funds.  Similarly, WIOA program operators may not require veterans or spouses to exhaust their entitlement to VA funded training benefits prior to allowing them to enroll in WIOA funded training.</w:t>
      </w:r>
    </w:p>
    <w:p w14:paraId="11DAAFF8" w14:textId="77777777" w:rsidR="00ED06DD" w:rsidRPr="00C11834" w:rsidRDefault="00ED06DD" w:rsidP="005266D3">
      <w:pPr>
        <w:ind w:left="612"/>
        <w:jc w:val="both"/>
      </w:pPr>
      <w:r w:rsidRPr="00C11834">
        <w:t>Due to the statutorily required priority for Adult funds, priority must be provided in the following order:</w:t>
      </w:r>
    </w:p>
    <w:p w14:paraId="0D9D6914" w14:textId="77777777" w:rsidR="00ED06DD" w:rsidRPr="005266D3" w:rsidRDefault="00ED06DD" w:rsidP="00594BD4">
      <w:pPr>
        <w:pStyle w:val="ListParagraph"/>
        <w:numPr>
          <w:ilvl w:val="0"/>
          <w:numId w:val="14"/>
        </w:numPr>
      </w:pPr>
      <w:r w:rsidRPr="005266D3">
        <w:t xml:space="preserve">First, to veterans and eligible spouses who are also included in the groups given statutory priority for WIOA Adult formula funding.  This means that veterans and eligible spouses who are also recipients of public assistance, other low-income individuals, or individuals who are basic skills deficient receive first priority for services provided with WIOA Adult formula funds for individualized career services and training services. </w:t>
      </w:r>
    </w:p>
    <w:p w14:paraId="6AD4EFA4" w14:textId="77777777" w:rsidR="00ED06DD" w:rsidRPr="005266D3" w:rsidRDefault="00ED06DD" w:rsidP="00594BD4">
      <w:pPr>
        <w:pStyle w:val="ListParagraph"/>
        <w:numPr>
          <w:ilvl w:val="0"/>
          <w:numId w:val="14"/>
        </w:numPr>
      </w:pPr>
      <w:r w:rsidRPr="005266D3">
        <w:t>Second, to non-covered persons (i.e., individuals who are not veterans or eligible spouses) who are included in the groups given priority for WIOA Adult formula funds.</w:t>
      </w:r>
    </w:p>
    <w:p w14:paraId="05FA5C72" w14:textId="77777777" w:rsidR="00ED06DD" w:rsidRPr="005266D3" w:rsidRDefault="00ED06DD" w:rsidP="00594BD4">
      <w:pPr>
        <w:pStyle w:val="ListParagraph"/>
        <w:numPr>
          <w:ilvl w:val="0"/>
          <w:numId w:val="14"/>
        </w:numPr>
      </w:pPr>
      <w:r w:rsidRPr="005266D3">
        <w:lastRenderedPageBreak/>
        <w:t>Third, to veterans and eligible spouses who are not included in WIOA’s priority groups.</w:t>
      </w:r>
    </w:p>
    <w:p w14:paraId="70B92A3F" w14:textId="77777777" w:rsidR="00ED06DD" w:rsidRPr="005266D3" w:rsidRDefault="00ED06DD" w:rsidP="00594BD4">
      <w:pPr>
        <w:pStyle w:val="ListParagraph"/>
        <w:numPr>
          <w:ilvl w:val="0"/>
          <w:numId w:val="14"/>
        </w:numPr>
      </w:pPr>
      <w:r w:rsidRPr="005266D3">
        <w:t>Fourth, to priority populations established by the LWDB (for example, for non-covered persons who are not included in groups given priority for WIOA Adult formula funds, such as persons living within a designated Promise Zone).</w:t>
      </w:r>
    </w:p>
    <w:p w14:paraId="2FACAC4F" w14:textId="77777777" w:rsidR="00BB0B0C" w:rsidRPr="005266D3" w:rsidRDefault="00ED06DD" w:rsidP="00594BD4">
      <w:pPr>
        <w:pStyle w:val="ListParagraph"/>
        <w:numPr>
          <w:ilvl w:val="0"/>
          <w:numId w:val="14"/>
        </w:numPr>
      </w:pPr>
      <w:r w:rsidRPr="005266D3">
        <w:t xml:space="preserve">Last, to non-covered persons outside the groups given priority under WIOA. </w:t>
      </w:r>
    </w:p>
    <w:p w14:paraId="5ED8B079" w14:textId="77777777" w:rsidR="00BB0B0C" w:rsidRDefault="00BB0B0C" w:rsidP="00BB0B0C">
      <w:pPr>
        <w:spacing w:after="0" w:line="240" w:lineRule="auto"/>
        <w:rPr>
          <w:rFonts w:cstheme="minorHAnsi"/>
          <w:color w:val="000000"/>
          <w:u w:val="single"/>
        </w:rPr>
      </w:pPr>
    </w:p>
    <w:p w14:paraId="2EB4E743" w14:textId="7D3E6C96" w:rsidR="00ED06DD" w:rsidRPr="00BB0B0C" w:rsidRDefault="00ED06DD" w:rsidP="005266D3">
      <w:pPr>
        <w:spacing w:after="0" w:line="240" w:lineRule="auto"/>
        <w:ind w:firstLine="720"/>
        <w:jc w:val="both"/>
        <w:rPr>
          <w:rFonts w:cstheme="minorHAnsi"/>
        </w:rPr>
      </w:pPr>
      <w:r w:rsidRPr="00BB0B0C">
        <w:rPr>
          <w:rFonts w:cstheme="minorHAnsi"/>
          <w:color w:val="000000"/>
          <w:u w:val="single"/>
        </w:rPr>
        <w:t xml:space="preserve">Serving Separating Service Members and Military Spouses with Dislocated Worker Funds </w:t>
      </w:r>
    </w:p>
    <w:p w14:paraId="6D18C270" w14:textId="6B26EBCC" w:rsidR="00ED06DD" w:rsidRPr="00C11834" w:rsidRDefault="00ED06DD" w:rsidP="005266D3">
      <w:pPr>
        <w:autoSpaceDE w:val="0"/>
        <w:autoSpaceDN w:val="0"/>
        <w:adjustRightInd w:val="0"/>
        <w:ind w:left="720"/>
        <w:jc w:val="both"/>
        <w:rPr>
          <w:rFonts w:cstheme="minorHAnsi"/>
        </w:rPr>
      </w:pPr>
      <w:r w:rsidRPr="00C11834">
        <w:rPr>
          <w:rFonts w:cstheme="minorHAnsi"/>
          <w:color w:val="000000"/>
        </w:rPr>
        <w:t>Service members exiting the military, including, but not limited to, those who receive or are</w:t>
      </w:r>
      <w:r w:rsidR="00B1304E">
        <w:rPr>
          <w:rFonts w:cstheme="minorHAnsi"/>
          <w:color w:val="000000"/>
        </w:rPr>
        <w:t xml:space="preserve"> </w:t>
      </w:r>
      <w:r w:rsidRPr="00C11834">
        <w:rPr>
          <w:rFonts w:cstheme="minorHAnsi"/>
          <w:color w:val="000000"/>
        </w:rPr>
        <w:t xml:space="preserve">eligible for Unemployment Compensation for Ex-Military members (UCX), generally qualify as dislocated workers. Dislocated Worker funds under </w:t>
      </w:r>
      <w:r w:rsidR="00AD5F5D">
        <w:rPr>
          <w:rFonts w:cstheme="minorHAnsi"/>
          <w:color w:val="000000"/>
        </w:rPr>
        <w:t>T</w:t>
      </w:r>
      <w:r w:rsidRPr="00C11834">
        <w:rPr>
          <w:rFonts w:cstheme="minorHAnsi"/>
          <w:color w:val="000000"/>
        </w:rPr>
        <w:t xml:space="preserve">itle I can help separating service members to enter or reenter the civilian labor force.  A separating service member needs a notice of separation, either a DD-214 from the Department of Defense, or </w:t>
      </w:r>
      <w:r w:rsidRPr="00C11834">
        <w:rPr>
          <w:rFonts w:cstheme="minorHAnsi"/>
        </w:rPr>
        <w:t xml:space="preserve">other appropriate documentation that shows a separation or imminent separation from the Armed Forces, to meet the required dislocated worker definition.  While in most instances an individual will have to be eligible for or have exhausted entitlement to unemployment compensation in order to receive dislocated worker services, separating service members on a terminal leave from the military may be provided career services while the service member is still part of the Active Duty military, but has an imminent separation date, provided that their discharge will be anything other than dishonorable.  It must be noted, however, that federal policy requires a separating service member to meet the dislocated worker </w:t>
      </w:r>
      <w:bookmarkStart w:id="10" w:name="_Hlk528927504"/>
      <w:r w:rsidRPr="00C11834">
        <w:rPr>
          <w:rFonts w:cstheme="minorHAnsi"/>
        </w:rPr>
        <w:t xml:space="preserve">requirement of being unlikely to return to his or her previous industry or occupation in the military. </w:t>
      </w:r>
    </w:p>
    <w:bookmarkEnd w:id="10"/>
    <w:p w14:paraId="10649699" w14:textId="545F788D" w:rsidR="00ED06DD" w:rsidRPr="005268F8" w:rsidRDefault="00ED06DD" w:rsidP="005266D3">
      <w:pPr>
        <w:pStyle w:val="Heading3"/>
        <w:rPr>
          <w:rFonts w:eastAsia="Calibri"/>
        </w:rPr>
      </w:pPr>
      <w:r w:rsidRPr="005268F8">
        <w:rPr>
          <w:rFonts w:eastAsia="Calibri"/>
        </w:rPr>
        <w:t xml:space="preserve">Employment Status Clarification </w:t>
      </w:r>
    </w:p>
    <w:p w14:paraId="13C1F508" w14:textId="44446F09" w:rsidR="00ED06DD" w:rsidRPr="005266D3" w:rsidRDefault="00ED06DD" w:rsidP="005266D3">
      <w:pPr>
        <w:ind w:left="612"/>
        <w:rPr>
          <w:b/>
        </w:rPr>
      </w:pPr>
      <w:r w:rsidRPr="005266D3">
        <w:t>Adult and DLW funds may provide career and training services to underemployed individuals according to the priority of service requirement described earlier in this issuance.  Individuals who are underemployed may include those who are:</w:t>
      </w:r>
    </w:p>
    <w:p w14:paraId="12E1F087" w14:textId="77777777" w:rsidR="00ED06DD" w:rsidRPr="005266D3" w:rsidRDefault="00ED06DD" w:rsidP="00594BD4">
      <w:pPr>
        <w:pStyle w:val="ListParagraph"/>
        <w:numPr>
          <w:ilvl w:val="0"/>
          <w:numId w:val="15"/>
        </w:numPr>
      </w:pPr>
      <w:r w:rsidRPr="005266D3">
        <w:t xml:space="preserve">Employed less than full-time who are seeking full-time employment; </w:t>
      </w:r>
    </w:p>
    <w:p w14:paraId="00D51C80" w14:textId="77777777" w:rsidR="00ED06DD" w:rsidRPr="005266D3" w:rsidRDefault="00ED06DD" w:rsidP="00594BD4">
      <w:pPr>
        <w:pStyle w:val="ListParagraph"/>
        <w:numPr>
          <w:ilvl w:val="0"/>
          <w:numId w:val="15"/>
        </w:numPr>
      </w:pPr>
      <w:r w:rsidRPr="005266D3">
        <w:t>Employed in a position that is inadequate with respect to their skills and training;</w:t>
      </w:r>
    </w:p>
    <w:p w14:paraId="0AB3097C" w14:textId="77777777" w:rsidR="00ED06DD" w:rsidRPr="005266D3" w:rsidRDefault="00ED06DD" w:rsidP="00594BD4">
      <w:pPr>
        <w:pStyle w:val="ListParagraph"/>
        <w:numPr>
          <w:ilvl w:val="0"/>
          <w:numId w:val="15"/>
        </w:numPr>
      </w:pPr>
      <w:r w:rsidRPr="005266D3">
        <w:t>Employed and meet the definition of a low-income individual; and</w:t>
      </w:r>
    </w:p>
    <w:p w14:paraId="37D70747" w14:textId="299BCCB7" w:rsidR="002B17B9" w:rsidRPr="005266D3" w:rsidRDefault="00ED06DD" w:rsidP="00594BD4">
      <w:pPr>
        <w:pStyle w:val="ListParagraph"/>
        <w:numPr>
          <w:ilvl w:val="0"/>
          <w:numId w:val="15"/>
        </w:numPr>
      </w:pPr>
      <w:r w:rsidRPr="005266D3">
        <w:t xml:space="preserve">Employed with current earnings that are insufficient when compared to the individual’s previous earnings from previous employment, per </w:t>
      </w:r>
      <w:r w:rsidR="00AD5F5D" w:rsidRPr="005266D3">
        <w:t xml:space="preserve">the </w:t>
      </w:r>
      <w:r w:rsidR="008157EE" w:rsidRPr="005266D3">
        <w:t>NEWDB</w:t>
      </w:r>
      <w:r w:rsidRPr="005266D3">
        <w:t xml:space="preserve"> policy.</w:t>
      </w:r>
    </w:p>
    <w:p w14:paraId="677C4177" w14:textId="201071E5" w:rsidR="00ED06DD" w:rsidRPr="002B17B9" w:rsidRDefault="00ED06DD" w:rsidP="005266D3">
      <w:pPr>
        <w:ind w:left="720"/>
        <w:jc w:val="both"/>
      </w:pPr>
      <w:r w:rsidRPr="005268F8">
        <w:t>The NE</w:t>
      </w:r>
      <w:r w:rsidR="00BB0B0C" w:rsidRPr="005268F8">
        <w:t>W</w:t>
      </w:r>
      <w:r w:rsidRPr="005268F8">
        <w:t>DB’s self-sufficiency policy addresses</w:t>
      </w:r>
      <w:r w:rsidRPr="00117BC7">
        <w:t xml:space="preserve"> the</w:t>
      </w:r>
      <w:r w:rsidRPr="002B17B9">
        <w:t xml:space="preserve"> area’s procedures for serving adults and dislocated workers determined to be underemployed by </w:t>
      </w:r>
      <w:r w:rsidR="008157EE">
        <w:t>NEWDA</w:t>
      </w:r>
      <w:r w:rsidRPr="002B17B9">
        <w:t xml:space="preserve"> standards.  </w:t>
      </w:r>
      <w:r w:rsidRPr="00682819">
        <w:t xml:space="preserve">NOTE: </w:t>
      </w:r>
      <w:r w:rsidRPr="00682819">
        <w:rPr>
          <w:lang w:val="en"/>
        </w:rPr>
        <w:t xml:space="preserve">USDOL’s </w:t>
      </w:r>
      <w:hyperlink r:id="rId20" w:history="1">
        <w:r w:rsidRPr="00682819">
          <w:rPr>
            <w:lang w:val="en"/>
          </w:rPr>
          <w:t>Fair Labor Standards Act (FLSA)</w:t>
        </w:r>
      </w:hyperlink>
      <w:r w:rsidRPr="00682819">
        <w:rPr>
          <w:lang w:val="en"/>
        </w:rPr>
        <w:t xml:space="preserve"> does not define full-time employment or part-time employment.  The minimum number of hours that constitute full-time employment is generally defined by the employer, but may not be less than an average of at least 30 hours per week, or 130 hours per month.  Full-time employment often includes </w:t>
      </w:r>
      <w:r w:rsidRPr="00682819">
        <w:t xml:space="preserve">benefits not typically offered to part-time or </w:t>
      </w:r>
      <w:r w:rsidRPr="002B17B9">
        <w:t>temporary workers, such as annual leave, sick leave and health insurance.  The attainment of self-sufficiency often depends on the availability of sick leave and health insurance.</w:t>
      </w:r>
      <w:r w:rsidRPr="002B17B9">
        <w:rPr>
          <w:color w:val="333333"/>
          <w:lang w:val="en"/>
        </w:rPr>
        <w:t xml:space="preserve"> </w:t>
      </w:r>
    </w:p>
    <w:bookmarkEnd w:id="9"/>
    <w:p w14:paraId="4F11BBCA" w14:textId="77777777" w:rsidR="002B17B9" w:rsidRDefault="002B17B9" w:rsidP="000607E8">
      <w:pPr>
        <w:spacing w:after="0"/>
        <w:rPr>
          <w:rFonts w:eastAsia="Calibri" w:cstheme="minorHAnsi"/>
          <w:b/>
        </w:rPr>
      </w:pPr>
    </w:p>
    <w:p w14:paraId="045ACF73" w14:textId="0BE76EDD" w:rsidR="00AB46C3" w:rsidRDefault="00BB0B0C" w:rsidP="005266D3">
      <w:pPr>
        <w:pStyle w:val="Heading1"/>
        <w:numPr>
          <w:ilvl w:val="0"/>
          <w:numId w:val="0"/>
        </w:numPr>
        <w:rPr>
          <w:rFonts w:eastAsia="Calibri"/>
        </w:rPr>
      </w:pPr>
      <w:r>
        <w:rPr>
          <w:rFonts w:eastAsia="Calibri"/>
        </w:rPr>
        <w:lastRenderedPageBreak/>
        <w:t>V</w:t>
      </w:r>
      <w:r w:rsidR="00FE354C">
        <w:rPr>
          <w:rFonts w:eastAsia="Calibri"/>
        </w:rPr>
        <w:t xml:space="preserve">. </w:t>
      </w:r>
      <w:r>
        <w:rPr>
          <w:rFonts w:eastAsia="Calibri"/>
        </w:rPr>
        <w:t xml:space="preserve"> A/DLW ENROLLMENT AND</w:t>
      </w:r>
      <w:r w:rsidR="002B17B9">
        <w:rPr>
          <w:rFonts w:eastAsia="Calibri"/>
        </w:rPr>
        <w:t xml:space="preserve"> CAREER</w:t>
      </w:r>
      <w:r>
        <w:rPr>
          <w:rFonts w:eastAsia="Calibri"/>
        </w:rPr>
        <w:t xml:space="preserve"> SERVICES</w:t>
      </w:r>
    </w:p>
    <w:p w14:paraId="611AAC34" w14:textId="4581F2B4" w:rsidR="00EC047F" w:rsidRPr="005268F8" w:rsidRDefault="005266D3" w:rsidP="005266D3">
      <w:pPr>
        <w:pStyle w:val="Heading2"/>
        <w:numPr>
          <w:ilvl w:val="0"/>
          <w:numId w:val="0"/>
        </w:numPr>
      </w:pPr>
      <w:bookmarkStart w:id="11" w:name="_Hlk528063907"/>
      <w:r>
        <w:t>5.</w:t>
      </w:r>
      <w:r w:rsidR="00B80925">
        <w:t>1</w:t>
      </w:r>
      <w:r>
        <w:tab/>
      </w:r>
      <w:r w:rsidR="002B17B9" w:rsidRPr="005268F8">
        <w:t>The Individual Employment Plan</w:t>
      </w:r>
    </w:p>
    <w:p w14:paraId="41A82448" w14:textId="2B21B902" w:rsidR="00CA5DEC" w:rsidRPr="003822F7" w:rsidRDefault="00D14672" w:rsidP="009D5771">
      <w:pPr>
        <w:jc w:val="both"/>
      </w:pPr>
      <w:bookmarkStart w:id="12" w:name="_Hlk526847013"/>
      <w:r w:rsidRPr="003822F7">
        <w:t xml:space="preserve">The Individual Development Plan (IEP) </w:t>
      </w:r>
      <w:bookmarkEnd w:id="12"/>
      <w:r w:rsidR="00EC047F" w:rsidRPr="003822F7">
        <w:t xml:space="preserve">is an ongoing </w:t>
      </w:r>
      <w:r w:rsidR="00AD5F5D">
        <w:rPr>
          <w:color w:val="000000"/>
        </w:rPr>
        <w:t>e</w:t>
      </w:r>
      <w:r w:rsidR="003822F7" w:rsidRPr="003822F7">
        <w:rPr>
          <w:color w:val="000000"/>
        </w:rPr>
        <w:t>nrollment</w:t>
      </w:r>
      <w:r w:rsidR="003822F7" w:rsidRPr="003822F7">
        <w:t xml:space="preserve"> </w:t>
      </w:r>
      <w:r w:rsidR="00EC047F" w:rsidRPr="003822F7">
        <w:t xml:space="preserve">strategy developed by the </w:t>
      </w:r>
      <w:bookmarkEnd w:id="11"/>
      <w:r w:rsidR="00EC047F" w:rsidRPr="003822F7">
        <w:t xml:space="preserve">participant and the career </w:t>
      </w:r>
      <w:r w:rsidR="002B17B9">
        <w:t xml:space="preserve">manager </w:t>
      </w:r>
      <w:r w:rsidR="00EC047F" w:rsidRPr="003822F7">
        <w:t xml:space="preserve">to identify the employment goal(s), appropriate achievement objectives, and the appropriate combination of services to achieve the employment success of the individual. </w:t>
      </w:r>
    </w:p>
    <w:p w14:paraId="7F46124F" w14:textId="21B5BEAC" w:rsidR="00CA5DEC" w:rsidRPr="009D5771" w:rsidRDefault="00B1764D" w:rsidP="00CB6E98">
      <w:r w:rsidRPr="002B17B9">
        <w:rPr>
          <w:b/>
        </w:rPr>
        <w:t>Case management</w:t>
      </w:r>
      <w:r w:rsidRPr="002B17B9">
        <w:t xml:space="preserve"> is defined as the coordination of services on the behalf of the participant, including services provided by an Oklahoma Works</w:t>
      </w:r>
      <w:r w:rsidR="00AD5F5D">
        <w:t xml:space="preserve"> </w:t>
      </w:r>
      <w:r w:rsidR="00163210">
        <w:t>AJC</w:t>
      </w:r>
      <w:r w:rsidRPr="002B17B9">
        <w:t xml:space="preserve"> partner or a community-based organization</w:t>
      </w:r>
      <w:r w:rsidR="00FB7793">
        <w:t xml:space="preserve"> </w:t>
      </w:r>
      <w:r w:rsidR="00717572" w:rsidRPr="00117BC7">
        <w:t>(</w:t>
      </w:r>
      <w:r w:rsidRPr="005268F8">
        <w:t>O</w:t>
      </w:r>
      <w:r w:rsidR="00AF1752">
        <w:t>O</w:t>
      </w:r>
      <w:r w:rsidRPr="005268F8">
        <w:t>WD</w:t>
      </w:r>
      <w:r w:rsidR="00717572" w:rsidRPr="005268F8">
        <w:t xml:space="preserve"> CHANGE 1 Adult and D</w:t>
      </w:r>
      <w:r w:rsidR="00AD5F5D">
        <w:t>LW</w:t>
      </w:r>
      <w:r w:rsidR="00717572" w:rsidRPr="005268F8">
        <w:t xml:space="preserve"> Programs</w:t>
      </w:r>
      <w:r w:rsidR="00AF1752">
        <w:t xml:space="preserve"> policy-</w:t>
      </w:r>
      <w:r w:rsidR="00CB6E98">
        <w:t xml:space="preserve"> </w:t>
      </w:r>
      <w:r w:rsidR="00AF1752" w:rsidRPr="00AF1752">
        <w:t xml:space="preserve"> </w:t>
      </w:r>
      <w:hyperlink r:id="rId21" w:history="1">
        <w:r w:rsidR="009D5771" w:rsidRPr="00ED52A7">
          <w:rPr>
            <w:rStyle w:val="Hyperlink"/>
            <w:rFonts w:eastAsia="Calibri" w:cstheme="minorHAnsi"/>
          </w:rPr>
          <w:t>https://oklahomaworks.gov/wp-content/uploads/2018/06/OWDI-19-2017-CHANGE-1-Adult-Dislocated-Worker-Programs.pdf</w:t>
        </w:r>
      </w:hyperlink>
      <w:r w:rsidR="009D5771">
        <w:t>).</w:t>
      </w:r>
    </w:p>
    <w:p w14:paraId="7FB1870A" w14:textId="2D1555EB" w:rsidR="00241B30" w:rsidRPr="005268F8" w:rsidRDefault="00241B30" w:rsidP="00594BD4">
      <w:pPr>
        <w:pStyle w:val="ListParagraph"/>
        <w:numPr>
          <w:ilvl w:val="0"/>
          <w:numId w:val="16"/>
        </w:numPr>
        <w:jc w:val="both"/>
      </w:pPr>
      <w:bookmarkStart w:id="13" w:name="_Hlk33106693"/>
      <w:r w:rsidRPr="00117BC7">
        <w:t xml:space="preserve">An IEP must be developed for each individual determined eligible for Adult or DLW program services.  As adults and dislocated workers have diverse needs, each IEP is intended to target the specific </w:t>
      </w:r>
      <w:r w:rsidRPr="009D5771">
        <w:rPr>
          <w:rFonts w:eastAsia="Times New Roman"/>
          <w:bCs/>
        </w:rPr>
        <w:t>needs</w:t>
      </w:r>
      <w:r w:rsidRPr="00117BC7">
        <w:t xml:space="preserve"> of the individual for whom it is developed and, therefore, </w:t>
      </w:r>
      <w:r w:rsidRPr="009D5771">
        <w:rPr>
          <w:u w:val="single"/>
        </w:rPr>
        <w:t xml:space="preserve">must start with a comprehensive </w:t>
      </w:r>
      <w:r w:rsidR="00AD5F5D" w:rsidRPr="009D5771">
        <w:rPr>
          <w:u w:val="single"/>
        </w:rPr>
        <w:t xml:space="preserve">assessment </w:t>
      </w:r>
      <w:r w:rsidRPr="009D5771">
        <w:rPr>
          <w:u w:val="single"/>
        </w:rPr>
        <w:t>of the individual’s needs</w:t>
      </w:r>
      <w:r w:rsidR="00717572" w:rsidRPr="00117BC7">
        <w:t xml:space="preserve"> </w:t>
      </w:r>
      <w:r w:rsidR="00717572" w:rsidRPr="005268F8">
        <w:t xml:space="preserve">(See NEWDB </w:t>
      </w:r>
      <w:r w:rsidR="00FB7793" w:rsidRPr="005268F8">
        <w:t>Assessment &amp; IEP Policy)</w:t>
      </w:r>
      <w:r w:rsidR="00FB7793" w:rsidRPr="00117BC7">
        <w:t xml:space="preserve">.  </w:t>
      </w:r>
      <w:r w:rsidRPr="00117BC7">
        <w:t xml:space="preserve">At a minimum, </w:t>
      </w:r>
      <w:r w:rsidRPr="005268F8">
        <w:t>an IEP must include the following:</w:t>
      </w:r>
    </w:p>
    <w:p w14:paraId="58967DF2" w14:textId="77777777" w:rsidR="00241B30" w:rsidRPr="005268F8" w:rsidRDefault="00241B30" w:rsidP="00594BD4">
      <w:pPr>
        <w:pStyle w:val="ListParagraph"/>
        <w:numPr>
          <w:ilvl w:val="0"/>
          <w:numId w:val="17"/>
        </w:numPr>
        <w:jc w:val="both"/>
        <w:rPr>
          <w:color w:val="000000"/>
        </w:rPr>
      </w:pPr>
      <w:r w:rsidRPr="005268F8">
        <w:t xml:space="preserve">an employment goal, </w:t>
      </w:r>
    </w:p>
    <w:p w14:paraId="206A9BBC" w14:textId="77777777" w:rsidR="00241B30" w:rsidRPr="005268F8" w:rsidRDefault="00241B30" w:rsidP="00594BD4">
      <w:pPr>
        <w:pStyle w:val="ListParagraph"/>
        <w:numPr>
          <w:ilvl w:val="0"/>
          <w:numId w:val="17"/>
        </w:numPr>
        <w:jc w:val="both"/>
        <w:rPr>
          <w:color w:val="000000"/>
        </w:rPr>
      </w:pPr>
      <w:r w:rsidRPr="005268F8">
        <w:t xml:space="preserve">documentation of identified needs and barriers, </w:t>
      </w:r>
    </w:p>
    <w:p w14:paraId="34E54793" w14:textId="77777777" w:rsidR="00241B30" w:rsidRPr="005268F8" w:rsidRDefault="00241B30" w:rsidP="00594BD4">
      <w:pPr>
        <w:pStyle w:val="ListParagraph"/>
        <w:numPr>
          <w:ilvl w:val="0"/>
          <w:numId w:val="17"/>
        </w:numPr>
        <w:jc w:val="both"/>
        <w:rPr>
          <w:color w:val="000000"/>
        </w:rPr>
      </w:pPr>
      <w:r w:rsidRPr="005268F8">
        <w:t xml:space="preserve">a training goal, and </w:t>
      </w:r>
    </w:p>
    <w:p w14:paraId="5AF7A8CB" w14:textId="0E96908C" w:rsidR="00241B30" w:rsidRPr="001418BB" w:rsidRDefault="00241B30" w:rsidP="00594BD4">
      <w:pPr>
        <w:pStyle w:val="ListParagraph"/>
        <w:numPr>
          <w:ilvl w:val="0"/>
          <w:numId w:val="17"/>
        </w:numPr>
        <w:jc w:val="both"/>
        <w:rPr>
          <w:color w:val="000000"/>
        </w:rPr>
      </w:pPr>
      <w:r w:rsidRPr="00F23F3D">
        <w:t>a signed Client Involvement Statement</w:t>
      </w:r>
      <w:r w:rsidR="0034687F" w:rsidRPr="00F23F3D">
        <w:rPr>
          <w:color w:val="FF0000"/>
        </w:rPr>
        <w:t>.</w:t>
      </w:r>
    </w:p>
    <w:p w14:paraId="41340A8C" w14:textId="123D884D" w:rsidR="00726777" w:rsidRPr="001418BB" w:rsidRDefault="00726777" w:rsidP="00594BD4">
      <w:pPr>
        <w:pStyle w:val="ListParagraph"/>
        <w:numPr>
          <w:ilvl w:val="0"/>
          <w:numId w:val="17"/>
        </w:numPr>
        <w:jc w:val="both"/>
        <w:rPr>
          <w:color w:val="000000"/>
        </w:rPr>
      </w:pPr>
      <w:r>
        <w:t>A signed Request and Release of Confidential Information/Grievance Procedures</w:t>
      </w:r>
    </w:p>
    <w:p w14:paraId="5DA2AD50" w14:textId="5F58C234" w:rsidR="00726777" w:rsidRPr="00F23F3D" w:rsidRDefault="00726777" w:rsidP="00594BD4">
      <w:pPr>
        <w:pStyle w:val="ListParagraph"/>
        <w:numPr>
          <w:ilvl w:val="0"/>
          <w:numId w:val="17"/>
        </w:numPr>
        <w:jc w:val="both"/>
        <w:rPr>
          <w:color w:val="000000"/>
        </w:rPr>
      </w:pPr>
      <w:r>
        <w:t xml:space="preserve">A signed Media Release, showing they agree to the release of the information or do not agree with the release.  </w:t>
      </w:r>
    </w:p>
    <w:p w14:paraId="7857489E" w14:textId="7B233F09" w:rsidR="008157EE" w:rsidRPr="00267A76" w:rsidRDefault="008157EE" w:rsidP="009D5771">
      <w:pPr>
        <w:pStyle w:val="ListParagraph"/>
        <w:jc w:val="both"/>
        <w:rPr>
          <w:color w:val="000000"/>
        </w:rPr>
      </w:pPr>
      <w:bookmarkStart w:id="14" w:name="_Hlk27048447"/>
      <w:r w:rsidRPr="00267A76">
        <w:rPr>
          <w:color w:val="000000"/>
        </w:rPr>
        <w:t>O</w:t>
      </w:r>
      <w:r w:rsidR="00AD5F5D">
        <w:rPr>
          <w:color w:val="000000"/>
        </w:rPr>
        <w:t>K</w:t>
      </w:r>
      <w:r w:rsidRPr="00267A76">
        <w:rPr>
          <w:color w:val="000000"/>
        </w:rPr>
        <w:t>J</w:t>
      </w:r>
      <w:r w:rsidR="00AD5F5D">
        <w:rPr>
          <w:color w:val="000000"/>
        </w:rPr>
        <w:t>ob</w:t>
      </w:r>
      <w:r w:rsidRPr="00267A76">
        <w:rPr>
          <w:color w:val="000000"/>
        </w:rPr>
        <w:t>M</w:t>
      </w:r>
      <w:r w:rsidR="00AD5F5D">
        <w:rPr>
          <w:color w:val="000000"/>
        </w:rPr>
        <w:t>atch</w:t>
      </w:r>
      <w:r w:rsidRPr="00267A76">
        <w:rPr>
          <w:color w:val="000000"/>
        </w:rPr>
        <w:t xml:space="preserve"> is the tool used to record the IEP. Each </w:t>
      </w:r>
      <w:r w:rsidR="005E0E35">
        <w:rPr>
          <w:color w:val="000000"/>
        </w:rPr>
        <w:t>A</w:t>
      </w:r>
      <w:r w:rsidRPr="00267A76">
        <w:rPr>
          <w:color w:val="000000"/>
        </w:rPr>
        <w:t>dult plan is entered by choosing “Individual Employment Plan” in the Enrollment Details section of the appropriate WIOA program (Adult</w:t>
      </w:r>
      <w:r>
        <w:rPr>
          <w:color w:val="000000"/>
        </w:rPr>
        <w:t>/</w:t>
      </w:r>
      <w:r w:rsidRPr="00267A76">
        <w:rPr>
          <w:color w:val="000000"/>
        </w:rPr>
        <w:t xml:space="preserve">DLW). </w:t>
      </w:r>
    </w:p>
    <w:p w14:paraId="4789C63E" w14:textId="77777777" w:rsidR="008157EE" w:rsidRPr="00267A76" w:rsidRDefault="008157EE" w:rsidP="009D5771">
      <w:pPr>
        <w:pStyle w:val="ListParagraph"/>
        <w:jc w:val="both"/>
        <w:rPr>
          <w:color w:val="000000"/>
        </w:rPr>
      </w:pPr>
    </w:p>
    <w:p w14:paraId="0B870148" w14:textId="3FD57608" w:rsidR="008157EE" w:rsidRPr="00267A76" w:rsidRDefault="008157EE" w:rsidP="009D5771">
      <w:pPr>
        <w:pStyle w:val="ListParagraph"/>
        <w:jc w:val="both"/>
        <w:rPr>
          <w:color w:val="000000"/>
        </w:rPr>
      </w:pPr>
      <w:r w:rsidRPr="00267A76">
        <w:rPr>
          <w:color w:val="000000"/>
        </w:rPr>
        <w:t>The virtual IEP</w:t>
      </w:r>
      <w:r>
        <w:rPr>
          <w:color w:val="000000"/>
        </w:rPr>
        <w:t xml:space="preserve"> </w:t>
      </w:r>
      <w:r w:rsidRPr="00267A76">
        <w:rPr>
          <w:color w:val="000000"/>
        </w:rPr>
        <w:t xml:space="preserve">includes the 14 components below, and are further described in Attachment A to this issuance. </w:t>
      </w:r>
    </w:p>
    <w:p w14:paraId="5548E8F1" w14:textId="77777777" w:rsidR="008157EE" w:rsidRPr="00267A76" w:rsidRDefault="008157EE" w:rsidP="00594BD4">
      <w:pPr>
        <w:pStyle w:val="ListParagraph"/>
        <w:numPr>
          <w:ilvl w:val="0"/>
          <w:numId w:val="18"/>
        </w:numPr>
        <w:jc w:val="both"/>
        <w:rPr>
          <w:color w:val="000000"/>
        </w:rPr>
      </w:pPr>
      <w:r w:rsidRPr="00267A76">
        <w:rPr>
          <w:color w:val="000000"/>
        </w:rPr>
        <w:t xml:space="preserve">Comprehensive Assessment &amp; Career Research. </w:t>
      </w:r>
    </w:p>
    <w:p w14:paraId="691D51D2" w14:textId="77777777" w:rsidR="008157EE" w:rsidRPr="00267A76" w:rsidRDefault="008157EE" w:rsidP="00594BD4">
      <w:pPr>
        <w:pStyle w:val="ListParagraph"/>
        <w:numPr>
          <w:ilvl w:val="0"/>
          <w:numId w:val="18"/>
        </w:numPr>
        <w:jc w:val="both"/>
        <w:rPr>
          <w:color w:val="000000"/>
        </w:rPr>
      </w:pPr>
      <w:r w:rsidRPr="00267A76">
        <w:rPr>
          <w:color w:val="000000"/>
        </w:rPr>
        <w:t xml:space="preserve">Employment Goals &amp; Achievement Objectives. </w:t>
      </w:r>
    </w:p>
    <w:p w14:paraId="24D8D130" w14:textId="77777777" w:rsidR="008157EE" w:rsidRPr="00267A76" w:rsidRDefault="008157EE" w:rsidP="00594BD4">
      <w:pPr>
        <w:pStyle w:val="ListParagraph"/>
        <w:numPr>
          <w:ilvl w:val="0"/>
          <w:numId w:val="18"/>
        </w:numPr>
        <w:jc w:val="both"/>
        <w:rPr>
          <w:color w:val="000000"/>
        </w:rPr>
      </w:pPr>
      <w:r w:rsidRPr="00267A76">
        <w:rPr>
          <w:color w:val="000000"/>
        </w:rPr>
        <w:t xml:space="preserve">Training Goals. </w:t>
      </w:r>
    </w:p>
    <w:p w14:paraId="2CDDE77E" w14:textId="77777777" w:rsidR="008157EE" w:rsidRPr="00267A76" w:rsidRDefault="008157EE" w:rsidP="00594BD4">
      <w:pPr>
        <w:pStyle w:val="ListParagraph"/>
        <w:numPr>
          <w:ilvl w:val="0"/>
          <w:numId w:val="18"/>
        </w:numPr>
        <w:jc w:val="both"/>
        <w:rPr>
          <w:color w:val="000000"/>
        </w:rPr>
      </w:pPr>
      <w:r w:rsidRPr="00267A76">
        <w:rPr>
          <w:color w:val="000000"/>
        </w:rPr>
        <w:t xml:space="preserve">Client Strengths and Attributes. </w:t>
      </w:r>
    </w:p>
    <w:p w14:paraId="5806AA6F" w14:textId="77777777" w:rsidR="008157EE" w:rsidRPr="00267A76" w:rsidRDefault="008157EE" w:rsidP="00594BD4">
      <w:pPr>
        <w:pStyle w:val="ListParagraph"/>
        <w:numPr>
          <w:ilvl w:val="0"/>
          <w:numId w:val="18"/>
        </w:numPr>
        <w:jc w:val="both"/>
        <w:rPr>
          <w:color w:val="000000"/>
        </w:rPr>
      </w:pPr>
      <w:r w:rsidRPr="00267A76">
        <w:rPr>
          <w:color w:val="000000"/>
        </w:rPr>
        <w:t xml:space="preserve">Combination of Services to Overcome Needs/Barriers. </w:t>
      </w:r>
    </w:p>
    <w:p w14:paraId="12C5401D" w14:textId="77777777" w:rsidR="008157EE" w:rsidRPr="00267A76" w:rsidRDefault="008157EE" w:rsidP="00594BD4">
      <w:pPr>
        <w:pStyle w:val="ListParagraph"/>
        <w:numPr>
          <w:ilvl w:val="0"/>
          <w:numId w:val="18"/>
        </w:numPr>
        <w:jc w:val="both"/>
        <w:rPr>
          <w:color w:val="000000"/>
        </w:rPr>
      </w:pPr>
      <w:r w:rsidRPr="00267A76">
        <w:rPr>
          <w:color w:val="000000"/>
        </w:rPr>
        <w:t xml:space="preserve">Assistive Technology Needs for Achieving Goals </w:t>
      </w:r>
    </w:p>
    <w:p w14:paraId="34395F91" w14:textId="77777777" w:rsidR="008157EE" w:rsidRPr="00267A76" w:rsidRDefault="008157EE" w:rsidP="00594BD4">
      <w:pPr>
        <w:pStyle w:val="ListParagraph"/>
        <w:numPr>
          <w:ilvl w:val="0"/>
          <w:numId w:val="18"/>
        </w:numPr>
        <w:jc w:val="both"/>
        <w:rPr>
          <w:color w:val="000000"/>
        </w:rPr>
      </w:pPr>
      <w:r w:rsidRPr="00267A76">
        <w:rPr>
          <w:color w:val="000000"/>
        </w:rPr>
        <w:t xml:space="preserve">Client Responsibilities and Agency Responsibilities. </w:t>
      </w:r>
    </w:p>
    <w:p w14:paraId="18141F03" w14:textId="77777777" w:rsidR="008157EE" w:rsidRPr="00267A76" w:rsidRDefault="008157EE" w:rsidP="00594BD4">
      <w:pPr>
        <w:pStyle w:val="ListParagraph"/>
        <w:numPr>
          <w:ilvl w:val="0"/>
          <w:numId w:val="18"/>
        </w:numPr>
        <w:jc w:val="both"/>
        <w:rPr>
          <w:color w:val="000000"/>
        </w:rPr>
      </w:pPr>
      <w:r w:rsidRPr="00267A76">
        <w:rPr>
          <w:color w:val="000000"/>
        </w:rPr>
        <w:t xml:space="preserve">Economic Need Statement and Planning. </w:t>
      </w:r>
    </w:p>
    <w:p w14:paraId="56F667B1" w14:textId="77777777" w:rsidR="008157EE" w:rsidRPr="00267A76" w:rsidRDefault="008157EE" w:rsidP="00594BD4">
      <w:pPr>
        <w:pStyle w:val="ListParagraph"/>
        <w:numPr>
          <w:ilvl w:val="0"/>
          <w:numId w:val="18"/>
        </w:numPr>
        <w:jc w:val="both"/>
        <w:rPr>
          <w:color w:val="000000"/>
        </w:rPr>
      </w:pPr>
      <w:r w:rsidRPr="00267A76">
        <w:rPr>
          <w:color w:val="000000"/>
        </w:rPr>
        <w:t xml:space="preserve">Supportive Service Needs. </w:t>
      </w:r>
    </w:p>
    <w:p w14:paraId="45F4D495" w14:textId="77777777" w:rsidR="008157EE" w:rsidRPr="00267A76" w:rsidRDefault="008157EE" w:rsidP="00594BD4">
      <w:pPr>
        <w:pStyle w:val="ListParagraph"/>
        <w:numPr>
          <w:ilvl w:val="0"/>
          <w:numId w:val="18"/>
        </w:numPr>
        <w:jc w:val="both"/>
        <w:rPr>
          <w:color w:val="000000"/>
        </w:rPr>
      </w:pPr>
      <w:r w:rsidRPr="00267A76">
        <w:rPr>
          <w:color w:val="000000"/>
        </w:rPr>
        <w:t xml:space="preserve">Follow-up Services Planned. </w:t>
      </w:r>
    </w:p>
    <w:p w14:paraId="5C8C2574" w14:textId="77777777" w:rsidR="008157EE" w:rsidRPr="00267A76" w:rsidRDefault="008157EE" w:rsidP="00594BD4">
      <w:pPr>
        <w:pStyle w:val="ListParagraph"/>
        <w:numPr>
          <w:ilvl w:val="0"/>
          <w:numId w:val="18"/>
        </w:numPr>
        <w:jc w:val="both"/>
        <w:rPr>
          <w:color w:val="000000"/>
        </w:rPr>
      </w:pPr>
      <w:r w:rsidRPr="00267A76">
        <w:rPr>
          <w:color w:val="000000"/>
        </w:rPr>
        <w:t xml:space="preserve">Performance Goals &amp; Accountability Indicators. </w:t>
      </w:r>
    </w:p>
    <w:p w14:paraId="0785BE5E" w14:textId="77777777" w:rsidR="008157EE" w:rsidRPr="00267A76" w:rsidRDefault="008157EE" w:rsidP="00594BD4">
      <w:pPr>
        <w:pStyle w:val="ListParagraph"/>
        <w:numPr>
          <w:ilvl w:val="0"/>
          <w:numId w:val="18"/>
        </w:numPr>
        <w:jc w:val="both"/>
        <w:rPr>
          <w:color w:val="000000"/>
        </w:rPr>
      </w:pPr>
      <w:r w:rsidRPr="00267A76">
        <w:rPr>
          <w:color w:val="000000"/>
        </w:rPr>
        <w:t xml:space="preserve">Client Progress Review. </w:t>
      </w:r>
    </w:p>
    <w:p w14:paraId="30E4CCDA" w14:textId="77777777" w:rsidR="008157EE" w:rsidRPr="00267A76" w:rsidRDefault="008157EE" w:rsidP="00594BD4">
      <w:pPr>
        <w:pStyle w:val="ListParagraph"/>
        <w:numPr>
          <w:ilvl w:val="0"/>
          <w:numId w:val="18"/>
        </w:numPr>
        <w:jc w:val="both"/>
        <w:rPr>
          <w:color w:val="000000"/>
        </w:rPr>
      </w:pPr>
      <w:r w:rsidRPr="00267A76">
        <w:rPr>
          <w:color w:val="000000"/>
        </w:rPr>
        <w:t xml:space="preserve">Additional Notes. </w:t>
      </w:r>
    </w:p>
    <w:p w14:paraId="5493A395" w14:textId="6F4C8D9D" w:rsidR="008157EE" w:rsidRPr="00267A76" w:rsidRDefault="008157EE" w:rsidP="00594BD4">
      <w:pPr>
        <w:pStyle w:val="ListParagraph"/>
        <w:numPr>
          <w:ilvl w:val="0"/>
          <w:numId w:val="18"/>
        </w:numPr>
        <w:jc w:val="both"/>
        <w:rPr>
          <w:color w:val="000000"/>
        </w:rPr>
      </w:pPr>
      <w:r w:rsidRPr="00267A76">
        <w:rPr>
          <w:color w:val="000000"/>
        </w:rPr>
        <w:t>Client Involvement Statement</w:t>
      </w:r>
      <w:r>
        <w:rPr>
          <w:color w:val="000000"/>
        </w:rPr>
        <w:t xml:space="preserve"> (Participant must receive a copy)</w:t>
      </w:r>
      <w:r w:rsidRPr="00267A76">
        <w:rPr>
          <w:color w:val="000000"/>
        </w:rPr>
        <w:t xml:space="preserve">. </w:t>
      </w:r>
    </w:p>
    <w:bookmarkEnd w:id="14"/>
    <w:p w14:paraId="00953823" w14:textId="77777777" w:rsidR="00240D21" w:rsidRPr="00F23F3D" w:rsidRDefault="00240D21" w:rsidP="009D5771">
      <w:pPr>
        <w:pStyle w:val="ListParagraph"/>
        <w:jc w:val="both"/>
        <w:rPr>
          <w:color w:val="000000"/>
        </w:rPr>
      </w:pPr>
    </w:p>
    <w:p w14:paraId="7C64CCA4" w14:textId="35BF8939" w:rsidR="004457F8" w:rsidRPr="000D333A" w:rsidRDefault="00241B30" w:rsidP="00594BD4">
      <w:pPr>
        <w:pStyle w:val="ListParagraph"/>
        <w:numPr>
          <w:ilvl w:val="0"/>
          <w:numId w:val="16"/>
        </w:numPr>
        <w:jc w:val="both"/>
      </w:pPr>
      <w:r w:rsidRPr="000D333A">
        <w:lastRenderedPageBreak/>
        <w:t>Additional goals and services necessary for the attainment and retention of successful employment must be added to the IEP as they are identifie</w:t>
      </w:r>
      <w:r w:rsidR="00754BC3" w:rsidRPr="000D333A">
        <w:t xml:space="preserve">d </w:t>
      </w:r>
      <w:r w:rsidR="001676AD" w:rsidRPr="000D333A">
        <w:t>(</w:t>
      </w:r>
      <w:r w:rsidR="00754BC3" w:rsidRPr="000D333A">
        <w:t xml:space="preserve">see </w:t>
      </w:r>
      <w:r w:rsidR="00AD5F5D">
        <w:t xml:space="preserve">the </w:t>
      </w:r>
      <w:r w:rsidR="001676AD" w:rsidRPr="000D333A">
        <w:t>NEWDB Data Integrity Policy</w:t>
      </w:r>
      <w:r w:rsidR="00164896" w:rsidRPr="000D333A">
        <w:t>).</w:t>
      </w:r>
      <w:r w:rsidR="001676AD" w:rsidRPr="000D333A">
        <w:t xml:space="preserve"> </w:t>
      </w:r>
      <w:r w:rsidRPr="000D333A">
        <w:t xml:space="preserve"> </w:t>
      </w:r>
      <w:r w:rsidR="004457F8" w:rsidRPr="000D333A">
        <w:t>Each step of the individual’s career pathway must be clearly documented in the IEP.  The IEP must be updated, and the participant’s signature obtained, when additional services are required, including those provided through normal case management activities (for example, services provided to remove barriers and additional services deemed necessary for the achievement of the participant’s employment goal).</w:t>
      </w:r>
    </w:p>
    <w:p w14:paraId="49547D2E" w14:textId="1AB8F430" w:rsidR="00DE50A7" w:rsidRDefault="00DE50A7" w:rsidP="009D5771">
      <w:pPr>
        <w:pStyle w:val="ListParagraph"/>
        <w:jc w:val="both"/>
      </w:pPr>
    </w:p>
    <w:p w14:paraId="72D58123" w14:textId="2B308598" w:rsidR="00DE50A7" w:rsidRPr="003D0EE6" w:rsidRDefault="00EC047F" w:rsidP="00594BD4">
      <w:pPr>
        <w:pStyle w:val="ListParagraph"/>
        <w:numPr>
          <w:ilvl w:val="0"/>
          <w:numId w:val="19"/>
        </w:numPr>
        <w:jc w:val="both"/>
      </w:pPr>
      <w:r w:rsidRPr="00D14672">
        <w:t xml:space="preserve">When training is necessary to achieve the participant’s employment goal(s), </w:t>
      </w:r>
      <w:r w:rsidRPr="00B1764D">
        <w:t xml:space="preserve">the training must be for an in-demand occupation according to </w:t>
      </w:r>
      <w:r w:rsidRPr="003D0EE6">
        <w:t xml:space="preserve">the </w:t>
      </w:r>
      <w:r w:rsidR="001676AD">
        <w:t>NEWDB</w:t>
      </w:r>
      <w:r w:rsidR="00754BC3">
        <w:t xml:space="preserve"> </w:t>
      </w:r>
      <w:r w:rsidR="00717572" w:rsidRPr="005268F8">
        <w:t>Demand Occupation Policy</w:t>
      </w:r>
      <w:r w:rsidRPr="005268F8">
        <w:t xml:space="preserve"> and, with certain exceptions, must be provided b</w:t>
      </w:r>
      <w:r w:rsidRPr="003D0EE6">
        <w:t xml:space="preserve">y an eligible training provider </w:t>
      </w:r>
      <w:r w:rsidRPr="001418BB">
        <w:t>(ETP), in</w:t>
      </w:r>
      <w:r w:rsidRPr="003D0EE6">
        <w:t xml:space="preserve"> accordance with current guidance located at </w:t>
      </w:r>
      <w:hyperlink r:id="rId22" w:history="1">
        <w:r w:rsidRPr="003D0EE6">
          <w:rPr>
            <w:rStyle w:val="Hyperlink"/>
            <w:rFonts w:cstheme="minorHAnsi"/>
          </w:rPr>
          <w:t>https://oklahomaworks.gov/local-workforce-boards/wioa-policy-center/</w:t>
        </w:r>
      </w:hyperlink>
      <w:r w:rsidRPr="003D0EE6">
        <w:rPr>
          <w:color w:val="000000"/>
        </w:rPr>
        <w:t>.</w:t>
      </w:r>
    </w:p>
    <w:p w14:paraId="6853C44E" w14:textId="77777777" w:rsidR="004457F8" w:rsidRPr="003D0EE6" w:rsidRDefault="004457F8" w:rsidP="009D5771">
      <w:pPr>
        <w:pStyle w:val="ListParagraph"/>
      </w:pPr>
    </w:p>
    <w:p w14:paraId="3E3D51B5" w14:textId="48D064F5" w:rsidR="00EC4846" w:rsidRPr="003D0EE6" w:rsidRDefault="00B748F0" w:rsidP="00594BD4">
      <w:pPr>
        <w:pStyle w:val="ListParagraph"/>
        <w:numPr>
          <w:ilvl w:val="0"/>
          <w:numId w:val="19"/>
        </w:numPr>
        <w:jc w:val="both"/>
      </w:pPr>
      <w:r w:rsidRPr="003D0EE6">
        <w:t xml:space="preserve">The IEP must be easily accessible for state </w:t>
      </w:r>
      <w:r w:rsidR="00EC047F" w:rsidRPr="003D0EE6">
        <w:t>and local monitoring purposes, and</w:t>
      </w:r>
      <w:r w:rsidRPr="003D0EE6">
        <w:t xml:space="preserve"> </w:t>
      </w:r>
      <w:r w:rsidR="00EC047F" w:rsidRPr="003D0EE6">
        <w:t xml:space="preserve">uploaded documentation supporting the IEP </w:t>
      </w:r>
      <w:r w:rsidRPr="003D0EE6">
        <w:t>must</w:t>
      </w:r>
      <w:r w:rsidR="00EC047F" w:rsidRPr="003D0EE6">
        <w:t xml:space="preserve"> clearly labeled in OKJobMatch.  One example of a readily accessible IEP is the virtual IEP located in the Enrollment Details page.  The initial IEP in this section requires an entry for each field.  It is appropriate, however, to enter “N/A” in fields where detail is not applicable until a future date, for example, Required Supportive Services During Active Participation and Post Employment Needs</w:t>
      </w:r>
      <w:r w:rsidR="00D438D6" w:rsidRPr="003D0EE6">
        <w:t>.</w:t>
      </w:r>
      <w:r w:rsidR="00FB7793" w:rsidRPr="003D0EE6">
        <w:t xml:space="preserve"> </w:t>
      </w:r>
      <w:r w:rsidR="00FB7793" w:rsidRPr="005268F8">
        <w:t>NEWDB utilizes an alternative IEP, in which such documentation is located in detailed Program Notes and service entries</w:t>
      </w:r>
      <w:r w:rsidR="00494324" w:rsidRPr="005268F8">
        <w:t xml:space="preserve"> in the client data file in </w:t>
      </w:r>
      <w:proofErr w:type="spellStart"/>
      <w:r w:rsidR="00494324" w:rsidRPr="005268F8">
        <w:t>OkJobMatch</w:t>
      </w:r>
      <w:proofErr w:type="spellEnd"/>
      <w:r w:rsidR="00494324" w:rsidRPr="005268F8">
        <w:t>.</w:t>
      </w:r>
    </w:p>
    <w:p w14:paraId="5282EAD8" w14:textId="77777777" w:rsidR="00D438D6" w:rsidRPr="003D0EE6" w:rsidRDefault="00D438D6" w:rsidP="009D5771">
      <w:pPr>
        <w:pStyle w:val="ListParagraph"/>
      </w:pPr>
    </w:p>
    <w:p w14:paraId="4904A256" w14:textId="0C8E5D12" w:rsidR="00EC047F" w:rsidRPr="003D0EE6" w:rsidRDefault="00D438D6" w:rsidP="00594BD4">
      <w:pPr>
        <w:pStyle w:val="ListParagraph"/>
        <w:numPr>
          <w:ilvl w:val="0"/>
          <w:numId w:val="19"/>
        </w:numPr>
        <w:jc w:val="both"/>
      </w:pPr>
      <w:r w:rsidRPr="003D0EE6">
        <w:t xml:space="preserve">Appropriate </w:t>
      </w:r>
      <w:bookmarkStart w:id="15" w:name="_Hlk526853337"/>
      <w:r w:rsidRPr="003D0EE6">
        <w:t xml:space="preserve">documentation of case management activities is essential to ensure provision of the comprehensive services necessary to achieve the participant’s career objectives.  Documents must be uploaded to OKJobMatch, as necessary, to support changes in the IEP, and the participant must always be given the option to receive a printed copy of the IEP when it is updated.  </w:t>
      </w:r>
      <w:r w:rsidR="00EC047F" w:rsidRPr="005268F8">
        <w:t xml:space="preserve">                                                                                                                                                                                                                                                                                                                                                                                          </w:t>
      </w:r>
      <w:bookmarkStart w:id="16" w:name="_Hlk526855301"/>
      <w:bookmarkEnd w:id="15"/>
    </w:p>
    <w:p w14:paraId="3ED072B2" w14:textId="77777777" w:rsidR="001017D3" w:rsidRDefault="001017D3" w:rsidP="00B80925">
      <w:pPr>
        <w:pStyle w:val="ListParagraph"/>
        <w:ind w:left="1440"/>
        <w:jc w:val="both"/>
      </w:pPr>
    </w:p>
    <w:p w14:paraId="62A3BE96" w14:textId="18A9A29F" w:rsidR="00EC047F" w:rsidRPr="003D0EE6" w:rsidRDefault="00EC047F" w:rsidP="00B80925">
      <w:pPr>
        <w:pStyle w:val="ListParagraph"/>
        <w:ind w:left="1440"/>
        <w:jc w:val="both"/>
      </w:pPr>
      <w:r w:rsidRPr="003D0EE6">
        <w:t xml:space="preserve">A detailed, ongoing narrative to track and document case management activities and their related outcomes must be recorded in OKJobMatch </w:t>
      </w:r>
      <w:r w:rsidRPr="005268F8">
        <w:t>as Program Notes</w:t>
      </w:r>
      <w:r w:rsidR="00B81428">
        <w:t>.</w:t>
      </w:r>
      <w:r w:rsidRPr="005268F8">
        <w:t xml:space="preserve"> </w:t>
      </w:r>
      <w:r w:rsidRPr="003D0EE6">
        <w:t xml:space="preserve">A detailed narrative includes: </w:t>
      </w:r>
    </w:p>
    <w:p w14:paraId="1EE58AAF" w14:textId="77777777" w:rsidR="001017D3" w:rsidRDefault="00EC047F" w:rsidP="00594BD4">
      <w:pPr>
        <w:pStyle w:val="ListParagraph"/>
        <w:numPr>
          <w:ilvl w:val="0"/>
          <w:numId w:val="20"/>
        </w:numPr>
        <w:jc w:val="both"/>
      </w:pPr>
      <w:r w:rsidRPr="003D0EE6">
        <w:t>The participant’s employment status at program enrollment, including:</w:t>
      </w:r>
    </w:p>
    <w:p w14:paraId="4E59D3BF" w14:textId="03CE5D7F" w:rsidR="00EC047F" w:rsidRPr="003D0EE6" w:rsidRDefault="00EC047F" w:rsidP="00594BD4">
      <w:pPr>
        <w:pStyle w:val="ListParagraph"/>
        <w:numPr>
          <w:ilvl w:val="1"/>
          <w:numId w:val="20"/>
        </w:numPr>
        <w:jc w:val="both"/>
      </w:pPr>
      <w:r w:rsidRPr="003D0EE6">
        <w:t xml:space="preserve">Details pertaining to the participant’s current or most recent employment, including the name of the employer and employment end date, if appropriate, and </w:t>
      </w:r>
    </w:p>
    <w:p w14:paraId="671D2DC9" w14:textId="77777777" w:rsidR="00EC047F" w:rsidRPr="003D0EE6" w:rsidRDefault="00EC047F" w:rsidP="00594BD4">
      <w:pPr>
        <w:pStyle w:val="ListParagraph"/>
        <w:numPr>
          <w:ilvl w:val="1"/>
          <w:numId w:val="20"/>
        </w:numPr>
        <w:jc w:val="both"/>
      </w:pPr>
      <w:r w:rsidRPr="003D0EE6">
        <w:t xml:space="preserve">The name of the company from which the participant was laid off and the date of the layoff, as appropriate. </w:t>
      </w:r>
    </w:p>
    <w:p w14:paraId="65726B55" w14:textId="5884874F" w:rsidR="00EC047F" w:rsidRPr="003D0EE6" w:rsidRDefault="00EC047F" w:rsidP="00594BD4">
      <w:pPr>
        <w:pStyle w:val="ListParagraph"/>
        <w:numPr>
          <w:ilvl w:val="0"/>
          <w:numId w:val="20"/>
        </w:numPr>
        <w:jc w:val="both"/>
      </w:pPr>
      <w:r w:rsidRPr="003D0EE6">
        <w:t xml:space="preserve">Attempts to contact the participant, in accordance with </w:t>
      </w:r>
      <w:r w:rsidR="002C3774">
        <w:t xml:space="preserve">the NEWDB Data </w:t>
      </w:r>
      <w:r w:rsidR="00164896">
        <w:t xml:space="preserve">Integrity </w:t>
      </w:r>
      <w:r w:rsidR="00164896" w:rsidRPr="003D0EE6">
        <w:t>policy</w:t>
      </w:r>
      <w:r w:rsidR="00D438D6" w:rsidRPr="003D0EE6">
        <w:t xml:space="preserve"> </w:t>
      </w:r>
      <w:r w:rsidR="00D438D6" w:rsidRPr="005268F8">
        <w:t xml:space="preserve">(every </w:t>
      </w:r>
      <w:r w:rsidR="00E95D63" w:rsidRPr="005268F8">
        <w:t>30</w:t>
      </w:r>
      <w:r w:rsidR="00D438D6" w:rsidRPr="005268F8">
        <w:t>-days)</w:t>
      </w:r>
      <w:r w:rsidRPr="003D0EE6">
        <w:t>, and the result of the attempted contact;</w:t>
      </w:r>
    </w:p>
    <w:p w14:paraId="718C8A9F" w14:textId="77777777" w:rsidR="00EC047F" w:rsidRPr="003D0EE6" w:rsidRDefault="00EC047F" w:rsidP="00594BD4">
      <w:pPr>
        <w:pStyle w:val="ListParagraph"/>
        <w:numPr>
          <w:ilvl w:val="0"/>
          <w:numId w:val="20"/>
        </w:numPr>
        <w:jc w:val="both"/>
      </w:pPr>
      <w:r w:rsidRPr="003D0EE6">
        <w:t xml:space="preserve">Steps taken to remove barriers listed in the IEP, including the provision of supportive services; </w:t>
      </w:r>
    </w:p>
    <w:p w14:paraId="37AEE16F" w14:textId="77777777" w:rsidR="00EC047F" w:rsidRPr="003D0EE6" w:rsidRDefault="00EC047F" w:rsidP="00594BD4">
      <w:pPr>
        <w:pStyle w:val="ListParagraph"/>
        <w:numPr>
          <w:ilvl w:val="0"/>
          <w:numId w:val="20"/>
        </w:numPr>
        <w:jc w:val="both"/>
      </w:pPr>
      <w:r w:rsidRPr="003D0EE6">
        <w:t>The coordination of resources;</w:t>
      </w:r>
    </w:p>
    <w:p w14:paraId="4B0B39EA" w14:textId="32450A7C" w:rsidR="00EC047F" w:rsidRPr="003D0EE6" w:rsidRDefault="00EC047F" w:rsidP="00594BD4">
      <w:pPr>
        <w:pStyle w:val="ListParagraph"/>
        <w:numPr>
          <w:ilvl w:val="0"/>
          <w:numId w:val="20"/>
        </w:numPr>
        <w:jc w:val="both"/>
      </w:pPr>
      <w:r w:rsidRPr="003D0EE6">
        <w:t xml:space="preserve">The accomplishment of </w:t>
      </w:r>
      <w:r w:rsidR="008F0AC5" w:rsidRPr="003D0EE6">
        <w:t>measurable</w:t>
      </w:r>
      <w:r w:rsidRPr="003D0EE6">
        <w:t xml:space="preserve"> skills gains;</w:t>
      </w:r>
    </w:p>
    <w:p w14:paraId="08B990A4" w14:textId="77777777" w:rsidR="00EC047F" w:rsidRPr="003D0EE6" w:rsidRDefault="00EC047F" w:rsidP="00594BD4">
      <w:pPr>
        <w:pStyle w:val="ListParagraph"/>
        <w:numPr>
          <w:ilvl w:val="0"/>
          <w:numId w:val="20"/>
        </w:numPr>
        <w:jc w:val="both"/>
      </w:pPr>
      <w:r w:rsidRPr="003D0EE6">
        <w:lastRenderedPageBreak/>
        <w:t xml:space="preserve">Training program completion; </w:t>
      </w:r>
    </w:p>
    <w:p w14:paraId="51EE93C2" w14:textId="77777777" w:rsidR="00EC047F" w:rsidRPr="003D0EE6" w:rsidRDefault="00EC047F" w:rsidP="00594BD4">
      <w:pPr>
        <w:pStyle w:val="ListParagraph"/>
        <w:numPr>
          <w:ilvl w:val="0"/>
          <w:numId w:val="20"/>
        </w:numPr>
        <w:jc w:val="both"/>
      </w:pPr>
      <w:r w:rsidRPr="003D0EE6">
        <w:t>The attainment of employment, including:</w:t>
      </w:r>
    </w:p>
    <w:p w14:paraId="48A74B73" w14:textId="77777777" w:rsidR="00EC047F" w:rsidRPr="003D0EE6" w:rsidRDefault="00EC047F" w:rsidP="00594BD4">
      <w:pPr>
        <w:pStyle w:val="ListParagraph"/>
        <w:numPr>
          <w:ilvl w:val="0"/>
          <w:numId w:val="21"/>
        </w:numPr>
        <w:jc w:val="both"/>
      </w:pPr>
      <w:r w:rsidRPr="003D0EE6">
        <w:t>Employer name;</w:t>
      </w:r>
    </w:p>
    <w:p w14:paraId="550649AD" w14:textId="77777777" w:rsidR="00EC047F" w:rsidRPr="003D0EE6" w:rsidRDefault="00EC047F" w:rsidP="00594BD4">
      <w:pPr>
        <w:pStyle w:val="ListParagraph"/>
        <w:numPr>
          <w:ilvl w:val="0"/>
          <w:numId w:val="21"/>
        </w:numPr>
        <w:jc w:val="both"/>
      </w:pPr>
      <w:r w:rsidRPr="003D0EE6">
        <w:t>Date employment started;</w:t>
      </w:r>
    </w:p>
    <w:p w14:paraId="6D4555F3" w14:textId="77777777" w:rsidR="00EC047F" w:rsidRPr="003D0EE6" w:rsidRDefault="00EC047F" w:rsidP="00594BD4">
      <w:pPr>
        <w:pStyle w:val="ListParagraph"/>
        <w:numPr>
          <w:ilvl w:val="0"/>
          <w:numId w:val="21"/>
        </w:numPr>
        <w:jc w:val="both"/>
      </w:pPr>
      <w:r w:rsidRPr="003D0EE6">
        <w:t>Wage at hire;</w:t>
      </w:r>
    </w:p>
    <w:p w14:paraId="17FF3EE5" w14:textId="77777777" w:rsidR="00EC047F" w:rsidRPr="003D0EE6" w:rsidRDefault="00EC047F" w:rsidP="00594BD4">
      <w:pPr>
        <w:pStyle w:val="ListParagraph"/>
        <w:numPr>
          <w:ilvl w:val="0"/>
          <w:numId w:val="21"/>
        </w:numPr>
        <w:jc w:val="both"/>
      </w:pPr>
      <w:r w:rsidRPr="003D0EE6">
        <w:t xml:space="preserve">Benefits such as insurance and leave; and </w:t>
      </w:r>
    </w:p>
    <w:p w14:paraId="361C9528" w14:textId="77777777" w:rsidR="00EC047F" w:rsidRPr="003D0EE6" w:rsidRDefault="00EC047F" w:rsidP="00594BD4">
      <w:pPr>
        <w:pStyle w:val="ListParagraph"/>
        <w:numPr>
          <w:ilvl w:val="0"/>
          <w:numId w:val="21"/>
        </w:numPr>
        <w:jc w:val="both"/>
      </w:pPr>
      <w:r w:rsidRPr="003D0EE6">
        <w:t xml:space="preserve">How employment information was verified (pay stubs, employer contact, etc.); </w:t>
      </w:r>
    </w:p>
    <w:p w14:paraId="019301B1" w14:textId="77777777" w:rsidR="00EC047F" w:rsidRPr="003D0EE6" w:rsidRDefault="00EC047F" w:rsidP="00594BD4">
      <w:pPr>
        <w:pStyle w:val="ListParagraph"/>
        <w:numPr>
          <w:ilvl w:val="0"/>
          <w:numId w:val="22"/>
        </w:numPr>
        <w:jc w:val="both"/>
      </w:pPr>
      <w:r w:rsidRPr="003D0EE6">
        <w:t xml:space="preserve">The provision of follow-up services; and </w:t>
      </w:r>
    </w:p>
    <w:p w14:paraId="7FB494D3" w14:textId="0C360AE8" w:rsidR="00EC047F" w:rsidRPr="003D0EE6" w:rsidRDefault="00EC047F" w:rsidP="00594BD4">
      <w:pPr>
        <w:pStyle w:val="ListParagraph"/>
        <w:numPr>
          <w:ilvl w:val="0"/>
          <w:numId w:val="22"/>
        </w:numPr>
        <w:jc w:val="both"/>
      </w:pPr>
      <w:r w:rsidRPr="003D0EE6">
        <w:t xml:space="preserve">All other activities and information pertinent to the achievement of the IEP, as determined by the </w:t>
      </w:r>
      <w:r w:rsidR="00494324" w:rsidRPr="003D0EE6">
        <w:t>NE</w:t>
      </w:r>
      <w:r w:rsidRPr="003D0EE6">
        <w:t>WDB.</w:t>
      </w:r>
    </w:p>
    <w:p w14:paraId="3C84DF0C" w14:textId="77777777" w:rsidR="001017D3" w:rsidRDefault="001017D3" w:rsidP="00B80925">
      <w:pPr>
        <w:pStyle w:val="ListParagraph"/>
        <w:jc w:val="both"/>
      </w:pPr>
    </w:p>
    <w:p w14:paraId="730B5C9A" w14:textId="5609440F" w:rsidR="00D72CEA" w:rsidRPr="003D0EE6" w:rsidRDefault="00EC047F" w:rsidP="00B80925">
      <w:pPr>
        <w:pStyle w:val="ListParagraph"/>
        <w:ind w:left="1440"/>
        <w:jc w:val="both"/>
      </w:pPr>
      <w:r w:rsidRPr="003D0EE6">
        <w:t>The purpose of regular contact is to offer services, verify training progress, and ensure</w:t>
      </w:r>
      <w:r w:rsidR="00E45C8B" w:rsidRPr="003D0EE6">
        <w:t xml:space="preserve"> </w:t>
      </w:r>
      <w:r w:rsidRPr="003D0EE6">
        <w:t>performance measures are attained, even when the cost of training is paid by another entity or program, such as Tribal entities, Trade Adjustment Assistance (TAA), Temporary Assistance for Needy Families (TANF), or Department of Rehabilitation Services (DRS). In addition, services provided by adult basic education providers, non-profits and all other community partners must be documented as part of the IEP.</w:t>
      </w:r>
    </w:p>
    <w:p w14:paraId="112F9E82" w14:textId="05393C43" w:rsidR="00D438D6" w:rsidRDefault="00D438D6" w:rsidP="00B80925">
      <w:pPr>
        <w:pStyle w:val="ListParagraph"/>
        <w:ind w:left="1440"/>
        <w:jc w:val="both"/>
      </w:pPr>
      <w:r w:rsidRPr="003D0EE6">
        <w:t xml:space="preserve">The use of funds from other sources for career or training services does not negate the responsibility of WIOA staff to maintain and document contact with participants enrolled in Adult or DLW Programs. </w:t>
      </w:r>
      <w:r w:rsidRPr="005268F8">
        <w:t xml:space="preserve">At a minimum, regular contact is defined by the </w:t>
      </w:r>
      <w:r w:rsidR="002C3774">
        <w:t>NEWDB Data Integrity Policy</w:t>
      </w:r>
      <w:r w:rsidR="00B81428">
        <w:t xml:space="preserve"> </w:t>
      </w:r>
      <w:r w:rsidRPr="005268F8">
        <w:t xml:space="preserve">LWDB as every </w:t>
      </w:r>
      <w:r w:rsidR="00E95D63" w:rsidRPr="005268F8">
        <w:t>30</w:t>
      </w:r>
      <w:r w:rsidRPr="005268F8">
        <w:t xml:space="preserve"> days. </w:t>
      </w:r>
    </w:p>
    <w:p w14:paraId="7FC99354" w14:textId="77777777" w:rsidR="00B80925" w:rsidRPr="005268F8" w:rsidRDefault="00B80925" w:rsidP="001017D3">
      <w:pPr>
        <w:pStyle w:val="ListParagraph"/>
        <w:ind w:left="1440"/>
      </w:pPr>
    </w:p>
    <w:bookmarkEnd w:id="13"/>
    <w:p w14:paraId="63108400" w14:textId="7558F095" w:rsidR="006D1F64" w:rsidRPr="005268F8" w:rsidRDefault="00B80925" w:rsidP="00B80925">
      <w:pPr>
        <w:pStyle w:val="Heading2"/>
        <w:numPr>
          <w:ilvl w:val="0"/>
          <w:numId w:val="0"/>
        </w:numPr>
      </w:pPr>
      <w:r>
        <w:t>5.2</w:t>
      </w:r>
      <w:r>
        <w:tab/>
      </w:r>
      <w:r w:rsidR="006D1F64" w:rsidRPr="005268F8">
        <w:t>Career Services</w:t>
      </w:r>
    </w:p>
    <w:p w14:paraId="5226C8E6" w14:textId="6D661683" w:rsidR="006D1F64" w:rsidRPr="003D0EE6" w:rsidRDefault="006D1F64" w:rsidP="00B80925">
      <w:pPr>
        <w:jc w:val="both"/>
      </w:pPr>
      <w:r w:rsidRPr="003D0EE6">
        <w:t xml:space="preserve">WIOA authorizes career services for adults and dislocated workers, which must be made available </w:t>
      </w:r>
      <w:r w:rsidR="00624DAC" w:rsidRPr="003D0EE6">
        <w:t xml:space="preserve">in </w:t>
      </w:r>
      <w:r w:rsidRPr="003D0EE6">
        <w:t xml:space="preserve">all comprehensive Oklahoma Works </w:t>
      </w:r>
      <w:r w:rsidR="00621D34">
        <w:t>AJC</w:t>
      </w:r>
      <w:r w:rsidRPr="003D0EE6">
        <w:t xml:space="preserve">.  WIOA distinguishes three levels of career services: basic career services, individualized career services, and follow-up services, with no sequential requirement for these services.  Career services under this approach provide </w:t>
      </w:r>
      <w:r w:rsidR="00A44BBF">
        <w:t xml:space="preserve">NEWDB </w:t>
      </w:r>
      <w:r w:rsidRPr="003D0EE6">
        <w:t xml:space="preserve">with the flexibility to target services to the needs of the customer, while still allowing for tracking of outcomes for reporting purposes.  Career services may be provided in any order, recognizing each individual may not need all types of career services or may need different types of career services at different stages in their career pathway.  </w:t>
      </w:r>
    </w:p>
    <w:p w14:paraId="5724A092" w14:textId="73781CBF" w:rsidR="000F14DB" w:rsidRPr="00B80925" w:rsidRDefault="006D1F64" w:rsidP="00594BD4">
      <w:pPr>
        <w:pStyle w:val="ListParagraph"/>
        <w:numPr>
          <w:ilvl w:val="0"/>
          <w:numId w:val="3"/>
        </w:numPr>
        <w:jc w:val="both"/>
      </w:pPr>
      <w:r w:rsidRPr="00B80925">
        <w:rPr>
          <w:rStyle w:val="Heading3Char"/>
        </w:rPr>
        <w:t>Basic Career Services:</w:t>
      </w:r>
      <w:r w:rsidRPr="003D0EE6">
        <w:rPr>
          <w:rFonts w:cs="Arial"/>
          <w:b/>
          <w:color w:val="000000"/>
        </w:rPr>
        <w:t xml:space="preserve"> </w:t>
      </w:r>
      <w:r w:rsidRPr="00B80925">
        <w:t xml:space="preserve">Basic career services are accessible in all </w:t>
      </w:r>
      <w:r w:rsidR="007D2AAD" w:rsidRPr="00B80925">
        <w:t>Oklahoma Works American Job Centers (AJCs)</w:t>
      </w:r>
      <w:r w:rsidRPr="00B80925">
        <w:t xml:space="preserve"> statewide and must be made available to all individuals seeking employment and training services.  Basic career services may be provided by both the Adult and DLW programs, as well as through the L</w:t>
      </w:r>
      <w:r w:rsidR="004B3566" w:rsidRPr="00B80925">
        <w:t xml:space="preserve">abor </w:t>
      </w:r>
      <w:r w:rsidRPr="00B80925">
        <w:t>E</w:t>
      </w:r>
      <w:r w:rsidR="004B3566" w:rsidRPr="00B80925">
        <w:t>xchange (LE)</w:t>
      </w:r>
      <w:r w:rsidRPr="00B80925">
        <w:t xml:space="preserve"> program services provided by the Wagner-</w:t>
      </w:r>
      <w:proofErr w:type="spellStart"/>
      <w:r w:rsidRPr="00B80925">
        <w:t>Peyser</w:t>
      </w:r>
      <w:proofErr w:type="spellEnd"/>
      <w:r w:rsidRPr="00B80925">
        <w:t xml:space="preserve"> (WP) staff of the Oklahoma Employment Security Commission (OESC).  Self-service and Information Only basic career services do not trigger inclusion in participation for </w:t>
      </w:r>
      <w:r w:rsidR="004B3566" w:rsidRPr="00B80925">
        <w:t>T</w:t>
      </w:r>
      <w:r w:rsidRPr="00B80925">
        <w:t xml:space="preserve">itle I Adult and DLW programs or for the </w:t>
      </w:r>
      <w:r w:rsidR="004B3566" w:rsidRPr="00B80925">
        <w:t>T</w:t>
      </w:r>
      <w:r w:rsidRPr="00B80925">
        <w:t xml:space="preserve">itle III ES program.  The most recent </w:t>
      </w:r>
      <w:r w:rsidR="00CD64CF" w:rsidRPr="00B80925">
        <w:t xml:space="preserve">OOWD </w:t>
      </w:r>
      <w:r w:rsidRPr="00B80925">
        <w:t xml:space="preserve">Core Performance Measures policy is found at </w:t>
      </w:r>
      <w:hyperlink r:id="rId23" w:history="1">
        <w:r w:rsidR="000F14DB" w:rsidRPr="00B80925">
          <w:rPr>
            <w:color w:val="0070C0"/>
            <w:u w:val="single"/>
          </w:rPr>
          <w:t>https://oklahomaworks.gov/wp-content/uploads/2019/09/OWDI-09-2017-Change-2-WIOA-Core-Performance-Measures-Policy.pdf</w:t>
        </w:r>
      </w:hyperlink>
      <w:r w:rsidR="000F14DB" w:rsidRPr="00B80925">
        <w:rPr>
          <w:color w:val="0070C0"/>
          <w:u w:val="single"/>
        </w:rPr>
        <w:t>.</w:t>
      </w:r>
    </w:p>
    <w:p w14:paraId="2732C0D9" w14:textId="55B51B02" w:rsidR="00624DAC" w:rsidRPr="00B80925" w:rsidRDefault="006D1F64" w:rsidP="00594BD4">
      <w:pPr>
        <w:pStyle w:val="Default"/>
        <w:numPr>
          <w:ilvl w:val="0"/>
          <w:numId w:val="3"/>
        </w:numPr>
        <w:jc w:val="both"/>
        <w:rPr>
          <w:rFonts w:asciiTheme="minorHAnsi" w:hAnsiTheme="minorHAnsi" w:cstheme="minorHAnsi"/>
          <w:sz w:val="22"/>
          <w:szCs w:val="22"/>
        </w:rPr>
      </w:pPr>
      <w:r w:rsidRPr="00B80925">
        <w:rPr>
          <w:rStyle w:val="Heading3Char"/>
          <w:rFonts w:asciiTheme="minorHAnsi" w:hAnsiTheme="minorHAnsi" w:cstheme="minorHAnsi"/>
          <w:sz w:val="22"/>
          <w:szCs w:val="22"/>
        </w:rPr>
        <w:t>Individualized Career Services:</w:t>
      </w:r>
      <w:r w:rsidRPr="003D0EE6">
        <w:rPr>
          <w:rFonts w:asciiTheme="minorHAnsi" w:hAnsiTheme="minorHAnsi" w:cs="Arial"/>
          <w:b/>
          <w:sz w:val="22"/>
          <w:szCs w:val="22"/>
        </w:rPr>
        <w:t xml:space="preserve">  </w:t>
      </w:r>
      <w:r w:rsidRPr="00B80925">
        <w:rPr>
          <w:rFonts w:asciiTheme="minorHAnsi" w:hAnsiTheme="minorHAnsi" w:cstheme="minorHAnsi"/>
          <w:sz w:val="22"/>
          <w:szCs w:val="22"/>
        </w:rPr>
        <w:t xml:space="preserve">As with basic career services, individualized career services are available in all Oklahoma Works </w:t>
      </w:r>
      <w:r w:rsidR="00621D34" w:rsidRPr="00B80925">
        <w:rPr>
          <w:rFonts w:asciiTheme="minorHAnsi" w:hAnsiTheme="minorHAnsi" w:cstheme="minorHAnsi"/>
          <w:sz w:val="22"/>
          <w:szCs w:val="22"/>
        </w:rPr>
        <w:t>AJCs</w:t>
      </w:r>
      <w:r w:rsidRPr="00B80925">
        <w:rPr>
          <w:rFonts w:asciiTheme="minorHAnsi" w:hAnsiTheme="minorHAnsi" w:cstheme="minorHAnsi"/>
          <w:sz w:val="22"/>
          <w:szCs w:val="22"/>
        </w:rPr>
        <w:t xml:space="preserve"> statewide.  ES and WIOA </w:t>
      </w:r>
      <w:r w:rsidR="004B3566" w:rsidRPr="00B80925">
        <w:rPr>
          <w:rFonts w:asciiTheme="minorHAnsi" w:hAnsiTheme="minorHAnsi" w:cstheme="minorHAnsi"/>
          <w:sz w:val="22"/>
          <w:szCs w:val="22"/>
        </w:rPr>
        <w:t>T</w:t>
      </w:r>
      <w:r w:rsidRPr="00B80925">
        <w:rPr>
          <w:rFonts w:asciiTheme="minorHAnsi" w:hAnsiTheme="minorHAnsi" w:cstheme="minorHAnsi"/>
          <w:sz w:val="22"/>
          <w:szCs w:val="22"/>
        </w:rPr>
        <w:t xml:space="preserve">itle I staff may make individualized career services available, particularly for individuals with barriers to employment as defined in WIOA 3(24).  Individualized career services are generally more time intensive than basic career </w:t>
      </w:r>
      <w:r w:rsidRPr="00B80925">
        <w:rPr>
          <w:rFonts w:asciiTheme="minorHAnsi" w:hAnsiTheme="minorHAnsi" w:cstheme="minorHAnsi"/>
          <w:sz w:val="22"/>
          <w:szCs w:val="22"/>
        </w:rPr>
        <w:lastRenderedPageBreak/>
        <w:t xml:space="preserve">services, and are customized to each individual’s needs.  Receipt of any individualized career service triggers participation and, therefore, performance.  </w:t>
      </w:r>
      <w:r w:rsidR="001F67BB" w:rsidRPr="00B80925">
        <w:rPr>
          <w:rFonts w:asciiTheme="minorHAnsi" w:hAnsiTheme="minorHAnsi" w:cstheme="minorHAnsi"/>
          <w:sz w:val="22"/>
          <w:szCs w:val="22"/>
        </w:rPr>
        <w:t>(See O</w:t>
      </w:r>
      <w:r w:rsidR="00AF1752" w:rsidRPr="00B80925">
        <w:rPr>
          <w:rFonts w:asciiTheme="minorHAnsi" w:hAnsiTheme="minorHAnsi" w:cstheme="minorHAnsi"/>
          <w:sz w:val="22"/>
          <w:szCs w:val="22"/>
        </w:rPr>
        <w:t>O</w:t>
      </w:r>
      <w:r w:rsidR="001F67BB" w:rsidRPr="00B80925">
        <w:rPr>
          <w:rFonts w:asciiTheme="minorHAnsi" w:hAnsiTheme="minorHAnsi" w:cstheme="minorHAnsi"/>
          <w:sz w:val="22"/>
          <w:szCs w:val="22"/>
        </w:rPr>
        <w:t xml:space="preserve">WDCHANGE </w:t>
      </w:r>
      <w:r w:rsidR="000F14DB" w:rsidRPr="00B80925">
        <w:rPr>
          <w:rFonts w:asciiTheme="minorHAnsi" w:hAnsiTheme="minorHAnsi" w:cstheme="minorHAnsi"/>
          <w:sz w:val="22"/>
          <w:szCs w:val="22"/>
        </w:rPr>
        <w:t>2 WIOA</w:t>
      </w:r>
      <w:r w:rsidR="001F67BB" w:rsidRPr="00B80925">
        <w:rPr>
          <w:rFonts w:asciiTheme="minorHAnsi" w:hAnsiTheme="minorHAnsi" w:cstheme="minorHAnsi"/>
          <w:sz w:val="22"/>
          <w:szCs w:val="22"/>
        </w:rPr>
        <w:t xml:space="preserve"> Core Performance Measures).</w:t>
      </w:r>
    </w:p>
    <w:p w14:paraId="35063FF8" w14:textId="77777777" w:rsidR="00624DAC" w:rsidRPr="003D0EE6" w:rsidRDefault="00624DAC" w:rsidP="00624DAC">
      <w:pPr>
        <w:pStyle w:val="Default"/>
        <w:ind w:left="720"/>
        <w:rPr>
          <w:rFonts w:asciiTheme="minorHAnsi" w:hAnsiTheme="minorHAnsi" w:cs="Arial"/>
          <w:sz w:val="22"/>
          <w:szCs w:val="22"/>
        </w:rPr>
      </w:pPr>
    </w:p>
    <w:p w14:paraId="4654D550" w14:textId="611D1D9F" w:rsidR="006D1F64" w:rsidRPr="003D0EE6" w:rsidRDefault="006D1F64" w:rsidP="00594BD4">
      <w:pPr>
        <w:pStyle w:val="ListParagraph"/>
        <w:numPr>
          <w:ilvl w:val="0"/>
          <w:numId w:val="23"/>
        </w:numPr>
      </w:pPr>
      <w:bookmarkStart w:id="17" w:name="_Hlk33108126"/>
      <w:r w:rsidRPr="003D0EE6">
        <w:t>The following services are considered individualized career services:</w:t>
      </w:r>
    </w:p>
    <w:p w14:paraId="020EEFCC" w14:textId="77777777" w:rsidR="00624DAC" w:rsidRPr="003D0EE6" w:rsidRDefault="006D1F64" w:rsidP="00594BD4">
      <w:pPr>
        <w:pStyle w:val="ListParagraph"/>
        <w:numPr>
          <w:ilvl w:val="0"/>
          <w:numId w:val="24"/>
        </w:numPr>
        <w:rPr>
          <w:b/>
        </w:rPr>
      </w:pPr>
      <w:r w:rsidRPr="003D0EE6">
        <w:t>comprehensive and specialized assessments of skill levels and service needs, which may include:</w:t>
      </w:r>
    </w:p>
    <w:p w14:paraId="697ED773" w14:textId="302E7A19" w:rsidR="006D1F64" w:rsidRPr="003D0EE6" w:rsidRDefault="006D1F64" w:rsidP="00594BD4">
      <w:pPr>
        <w:pStyle w:val="ListParagraph"/>
        <w:numPr>
          <w:ilvl w:val="0"/>
          <w:numId w:val="25"/>
        </w:numPr>
        <w:rPr>
          <w:b/>
        </w:rPr>
      </w:pPr>
      <w:r w:rsidRPr="003D0EE6">
        <w:t xml:space="preserve">diagnostic testing and use of other assessment tools, and </w:t>
      </w:r>
    </w:p>
    <w:p w14:paraId="421C3410" w14:textId="77777777" w:rsidR="006D1F64" w:rsidRPr="003D0EE6" w:rsidRDefault="006D1F64" w:rsidP="00594BD4">
      <w:pPr>
        <w:pStyle w:val="ListParagraph"/>
        <w:numPr>
          <w:ilvl w:val="0"/>
          <w:numId w:val="25"/>
        </w:numPr>
        <w:rPr>
          <w:b/>
        </w:rPr>
      </w:pPr>
      <w:r w:rsidRPr="003D0EE6">
        <w:t>in-depth interviewing and evaluation to identify employment barriers and appropriate employment goals;</w:t>
      </w:r>
    </w:p>
    <w:p w14:paraId="0BB1301D" w14:textId="62B6B0A9" w:rsidR="000B2A77" w:rsidRPr="003D0EE6" w:rsidRDefault="006D1F64" w:rsidP="00594BD4">
      <w:pPr>
        <w:pStyle w:val="ListParagraph"/>
        <w:numPr>
          <w:ilvl w:val="0"/>
          <w:numId w:val="24"/>
        </w:numPr>
        <w:rPr>
          <w:b/>
        </w:rPr>
      </w:pPr>
      <w:r w:rsidRPr="003D0EE6">
        <w:t>development of the IEP;</w:t>
      </w:r>
    </w:p>
    <w:p w14:paraId="38BDC18B" w14:textId="77777777" w:rsidR="000B2A77" w:rsidRPr="003D0EE6" w:rsidRDefault="006D1F64" w:rsidP="00594BD4">
      <w:pPr>
        <w:pStyle w:val="ListParagraph"/>
        <w:numPr>
          <w:ilvl w:val="0"/>
          <w:numId w:val="24"/>
        </w:numPr>
        <w:rPr>
          <w:b/>
        </w:rPr>
      </w:pPr>
      <w:r w:rsidRPr="003D0EE6">
        <w:t xml:space="preserve">group counseling; </w:t>
      </w:r>
    </w:p>
    <w:p w14:paraId="38A60804" w14:textId="6FBCCAD2" w:rsidR="006D1F64" w:rsidRPr="003D0EE6" w:rsidRDefault="006D1F64" w:rsidP="00594BD4">
      <w:pPr>
        <w:pStyle w:val="ListParagraph"/>
        <w:numPr>
          <w:ilvl w:val="0"/>
          <w:numId w:val="24"/>
        </w:numPr>
        <w:rPr>
          <w:b/>
        </w:rPr>
      </w:pPr>
      <w:r w:rsidRPr="003D0EE6">
        <w:t>individual counseling;</w:t>
      </w:r>
    </w:p>
    <w:p w14:paraId="548E44AA" w14:textId="77777777" w:rsidR="006D1F64" w:rsidRPr="003D0EE6" w:rsidRDefault="006D1F64" w:rsidP="00594BD4">
      <w:pPr>
        <w:pStyle w:val="ListParagraph"/>
        <w:numPr>
          <w:ilvl w:val="0"/>
          <w:numId w:val="24"/>
        </w:numPr>
        <w:rPr>
          <w:b/>
        </w:rPr>
      </w:pPr>
      <w:r w:rsidRPr="003D0EE6">
        <w:t xml:space="preserve">career planning; </w:t>
      </w:r>
    </w:p>
    <w:p w14:paraId="70ED04F9" w14:textId="77777777" w:rsidR="006D1F64" w:rsidRPr="003D0EE6" w:rsidRDefault="006D1F64" w:rsidP="00594BD4">
      <w:pPr>
        <w:pStyle w:val="ListParagraph"/>
        <w:numPr>
          <w:ilvl w:val="0"/>
          <w:numId w:val="24"/>
        </w:numPr>
        <w:rPr>
          <w:b/>
        </w:rPr>
      </w:pPr>
      <w:r w:rsidRPr="003D0EE6">
        <w:t>short term-prevocational skills (for example, communication skills, interviewing skills, personal maintenance skills and professional conduct);</w:t>
      </w:r>
    </w:p>
    <w:p w14:paraId="4FE4AEC8" w14:textId="77777777" w:rsidR="006D1F64" w:rsidRPr="003D0EE6" w:rsidRDefault="006D1F64" w:rsidP="00594BD4">
      <w:pPr>
        <w:pStyle w:val="ListParagraph"/>
        <w:numPr>
          <w:ilvl w:val="0"/>
          <w:numId w:val="24"/>
        </w:numPr>
        <w:rPr>
          <w:b/>
        </w:rPr>
      </w:pPr>
      <w:r w:rsidRPr="003D0EE6">
        <w:t xml:space="preserve">internships and work experiences linked to careers; </w:t>
      </w:r>
    </w:p>
    <w:p w14:paraId="1311FEE8" w14:textId="77777777" w:rsidR="006D1F64" w:rsidRPr="003D0EE6" w:rsidRDefault="006D1F64" w:rsidP="00594BD4">
      <w:pPr>
        <w:pStyle w:val="ListParagraph"/>
        <w:numPr>
          <w:ilvl w:val="0"/>
          <w:numId w:val="24"/>
        </w:numPr>
        <w:rPr>
          <w:b/>
        </w:rPr>
      </w:pPr>
      <w:r w:rsidRPr="003D0EE6">
        <w:t>transitional jobs;</w:t>
      </w:r>
    </w:p>
    <w:p w14:paraId="346CD25D" w14:textId="77777777" w:rsidR="006D1F64" w:rsidRPr="003D0EE6" w:rsidRDefault="006D1F64" w:rsidP="00594BD4">
      <w:pPr>
        <w:pStyle w:val="ListParagraph"/>
        <w:numPr>
          <w:ilvl w:val="0"/>
          <w:numId w:val="24"/>
        </w:numPr>
        <w:rPr>
          <w:b/>
        </w:rPr>
      </w:pPr>
      <w:r w:rsidRPr="003D0EE6">
        <w:t xml:space="preserve">workforce preparation activities; </w:t>
      </w:r>
    </w:p>
    <w:p w14:paraId="4DCF0995" w14:textId="77777777" w:rsidR="006D1F64" w:rsidRPr="003D0EE6" w:rsidRDefault="006D1F64" w:rsidP="00594BD4">
      <w:pPr>
        <w:pStyle w:val="ListParagraph"/>
        <w:numPr>
          <w:ilvl w:val="0"/>
          <w:numId w:val="24"/>
        </w:numPr>
        <w:rPr>
          <w:b/>
        </w:rPr>
      </w:pPr>
      <w:r w:rsidRPr="003D0EE6">
        <w:t xml:space="preserve">financial literacy services, such as those described in 29 USC 3164; </w:t>
      </w:r>
    </w:p>
    <w:p w14:paraId="1AAF8421" w14:textId="77777777" w:rsidR="006D1F64" w:rsidRPr="003D0EE6" w:rsidRDefault="006D1F64" w:rsidP="00594BD4">
      <w:pPr>
        <w:pStyle w:val="ListParagraph"/>
        <w:numPr>
          <w:ilvl w:val="0"/>
          <w:numId w:val="24"/>
        </w:numPr>
        <w:rPr>
          <w:b/>
        </w:rPr>
      </w:pPr>
      <w:r w:rsidRPr="003D0EE6">
        <w:t xml:space="preserve">out-of-area job search assistance and relocation assistance; or </w:t>
      </w:r>
    </w:p>
    <w:p w14:paraId="5A6CA826" w14:textId="77777777" w:rsidR="006D1F64" w:rsidRPr="003D0EE6" w:rsidRDefault="006D1F64" w:rsidP="00594BD4">
      <w:pPr>
        <w:pStyle w:val="ListParagraph"/>
        <w:numPr>
          <w:ilvl w:val="0"/>
          <w:numId w:val="24"/>
        </w:numPr>
        <w:rPr>
          <w:b/>
        </w:rPr>
      </w:pPr>
      <w:r w:rsidRPr="003D0EE6">
        <w:t>English language acquisition and integrated education and training programs.</w:t>
      </w:r>
    </w:p>
    <w:p w14:paraId="0AFFB95E" w14:textId="77777777" w:rsidR="000750A2" w:rsidRPr="003D0EE6" w:rsidRDefault="000750A2" w:rsidP="00B80925">
      <w:pPr>
        <w:pStyle w:val="ListParagraph"/>
        <w:rPr>
          <w:color w:val="000000"/>
        </w:rPr>
      </w:pPr>
    </w:p>
    <w:p w14:paraId="60006448" w14:textId="557A2C4D" w:rsidR="00AA15AA" w:rsidRPr="003D0EE6" w:rsidRDefault="006D1F64" w:rsidP="00594BD4">
      <w:pPr>
        <w:pStyle w:val="ListParagraph"/>
        <w:numPr>
          <w:ilvl w:val="0"/>
          <w:numId w:val="23"/>
        </w:numPr>
        <w:jc w:val="both"/>
        <w:rPr>
          <w:color w:val="000000"/>
        </w:rPr>
      </w:pPr>
      <w:r w:rsidRPr="003D0EE6">
        <w:rPr>
          <w:color w:val="000000"/>
        </w:rPr>
        <w:t xml:space="preserve">If Oklahoma Works </w:t>
      </w:r>
      <w:r w:rsidR="00621D34">
        <w:rPr>
          <w:color w:val="000000"/>
        </w:rPr>
        <w:t>AJC</w:t>
      </w:r>
      <w:r w:rsidR="004B3566">
        <w:rPr>
          <w:color w:val="000000"/>
        </w:rPr>
        <w:t xml:space="preserve"> </w:t>
      </w:r>
      <w:r w:rsidRPr="003D0EE6">
        <w:rPr>
          <w:color w:val="000000"/>
        </w:rPr>
        <w:t xml:space="preserve">staff or partners determine individualized career services are necessary for an individual to obtain or retain employment, these services must be made available to the individual, provided the individual meets the respective program eligibility requirements.  Recent assessments, interviews or evaluations completed by workforce partner programs may be used by Oklahoma Works </w:t>
      </w:r>
      <w:r w:rsidR="00621D34">
        <w:rPr>
          <w:color w:val="000000"/>
        </w:rPr>
        <w:t>AJC</w:t>
      </w:r>
      <w:r w:rsidR="004B3566">
        <w:rPr>
          <w:color w:val="000000"/>
        </w:rPr>
        <w:t xml:space="preserve"> </w:t>
      </w:r>
      <w:r w:rsidRPr="003D0EE6">
        <w:rPr>
          <w:color w:val="000000"/>
        </w:rPr>
        <w:t>staff to determine if individualized career services are appropriate or necessary for an individual</w:t>
      </w:r>
      <w:r w:rsidR="00AA15AA" w:rsidRPr="003D0EE6">
        <w:rPr>
          <w:color w:val="000000"/>
        </w:rPr>
        <w:t xml:space="preserve"> (see NEWDB Assessment and IEP Policy).</w:t>
      </w:r>
    </w:p>
    <w:p w14:paraId="462122DC" w14:textId="2BE7359C" w:rsidR="001F67BB" w:rsidRPr="003D0EE6" w:rsidRDefault="006D1F64" w:rsidP="002640BA">
      <w:pPr>
        <w:pStyle w:val="ListParagraph"/>
        <w:jc w:val="both"/>
        <w:rPr>
          <w:color w:val="000000"/>
        </w:rPr>
      </w:pPr>
      <w:r w:rsidRPr="003D0EE6">
        <w:rPr>
          <w:color w:val="000000"/>
        </w:rPr>
        <w:t xml:space="preserve">  </w:t>
      </w:r>
    </w:p>
    <w:p w14:paraId="4A415E2C" w14:textId="4D248D78" w:rsidR="006D1F64" w:rsidRPr="003D0EE6" w:rsidRDefault="006D1F64" w:rsidP="00594BD4">
      <w:pPr>
        <w:pStyle w:val="ListParagraph"/>
        <w:numPr>
          <w:ilvl w:val="0"/>
          <w:numId w:val="23"/>
        </w:numPr>
        <w:jc w:val="both"/>
        <w:rPr>
          <w:color w:val="000000"/>
        </w:rPr>
      </w:pPr>
      <w:r w:rsidRPr="003D0EE6">
        <w:t>T</w:t>
      </w:r>
      <w:r w:rsidRPr="003D0EE6">
        <w:rPr>
          <w:color w:val="000000"/>
        </w:rPr>
        <w:t>he provision of individualized career services must be based on the employment needs of the individual as determined jointly by the individual and the career planner, and must be documented in the IEP.</w:t>
      </w:r>
      <w:r w:rsidR="00AA15AA" w:rsidRPr="003D0EE6">
        <w:rPr>
          <w:color w:val="000000"/>
        </w:rPr>
        <w:t xml:space="preserve"> </w:t>
      </w:r>
      <w:r w:rsidRPr="003D0EE6">
        <w:t xml:space="preserve">ES staff members also have specific obligations in serving unemployment insurance (UI) claimants and </w:t>
      </w:r>
      <w:r w:rsidRPr="003D0EE6">
        <w:rPr>
          <w:color w:val="000000"/>
        </w:rPr>
        <w:t xml:space="preserve">carrying out components of the State’s UI program, which include: </w:t>
      </w:r>
    </w:p>
    <w:p w14:paraId="48C6A5D6" w14:textId="77777777" w:rsidR="006D1F64" w:rsidRPr="003D0EE6" w:rsidRDefault="006D1F64" w:rsidP="00594BD4">
      <w:pPr>
        <w:pStyle w:val="ListParagraph"/>
        <w:numPr>
          <w:ilvl w:val="0"/>
          <w:numId w:val="26"/>
        </w:numPr>
        <w:jc w:val="both"/>
        <w:rPr>
          <w:color w:val="000000"/>
        </w:rPr>
      </w:pPr>
      <w:r w:rsidRPr="003D0EE6">
        <w:rPr>
          <w:color w:val="000000"/>
        </w:rPr>
        <w:t xml:space="preserve">Coordination of basic career services, particularly LE services; </w:t>
      </w:r>
    </w:p>
    <w:p w14:paraId="07D4D325" w14:textId="77777777" w:rsidR="006D1F64" w:rsidRPr="003D0EE6" w:rsidRDefault="006D1F64" w:rsidP="00594BD4">
      <w:pPr>
        <w:pStyle w:val="ListParagraph"/>
        <w:numPr>
          <w:ilvl w:val="0"/>
          <w:numId w:val="26"/>
        </w:numPr>
        <w:jc w:val="both"/>
        <w:rPr>
          <w:color w:val="000000"/>
        </w:rPr>
      </w:pPr>
      <w:r w:rsidRPr="003D0EE6">
        <w:rPr>
          <w:color w:val="000000"/>
        </w:rPr>
        <w:t xml:space="preserve">Targeting UI claimants for job search assistance and referrals to employment; </w:t>
      </w:r>
    </w:p>
    <w:p w14:paraId="0AB4E219" w14:textId="77777777" w:rsidR="006D1F64" w:rsidRPr="003D0EE6" w:rsidRDefault="006D1F64" w:rsidP="00594BD4">
      <w:pPr>
        <w:pStyle w:val="ListParagraph"/>
        <w:numPr>
          <w:ilvl w:val="0"/>
          <w:numId w:val="26"/>
        </w:numPr>
        <w:jc w:val="both"/>
        <w:rPr>
          <w:color w:val="000000"/>
        </w:rPr>
      </w:pPr>
      <w:r w:rsidRPr="003D0EE6">
        <w:rPr>
          <w:color w:val="000000"/>
        </w:rPr>
        <w:t xml:space="preserve">Administering UI work test requirements, including obtaining and documenting relevant information for eligibility assessments and providing job search assistance and referrals to employment; </w:t>
      </w:r>
    </w:p>
    <w:p w14:paraId="5852A0A3" w14:textId="77777777" w:rsidR="006D1F64" w:rsidRPr="003D0EE6" w:rsidRDefault="006D1F64" w:rsidP="00594BD4">
      <w:pPr>
        <w:pStyle w:val="ListParagraph"/>
        <w:numPr>
          <w:ilvl w:val="0"/>
          <w:numId w:val="26"/>
        </w:numPr>
        <w:jc w:val="both"/>
        <w:rPr>
          <w:color w:val="000000"/>
        </w:rPr>
      </w:pPr>
      <w:r w:rsidRPr="003D0EE6">
        <w:rPr>
          <w:color w:val="000000"/>
        </w:rPr>
        <w:t xml:space="preserve">Provision of referrals to UI claimants for training and education resources and programs, including but not limited to Pell Grants, GI Bill, Post 9/11 Veterans Educational Assistance, WIOA, higher education assistance, and Vocational Rehabilitation; </w:t>
      </w:r>
    </w:p>
    <w:p w14:paraId="74E978F5" w14:textId="77777777" w:rsidR="006D1F64" w:rsidRPr="003D0EE6" w:rsidRDefault="006D1F64" w:rsidP="00594BD4">
      <w:pPr>
        <w:pStyle w:val="ListParagraph"/>
        <w:numPr>
          <w:ilvl w:val="0"/>
          <w:numId w:val="26"/>
        </w:numPr>
        <w:jc w:val="both"/>
        <w:rPr>
          <w:color w:val="000000"/>
        </w:rPr>
      </w:pPr>
      <w:r w:rsidRPr="003D0EE6">
        <w:rPr>
          <w:color w:val="000000"/>
        </w:rPr>
        <w:lastRenderedPageBreak/>
        <w:t xml:space="preserve">Provision of application assistance to UI claimants for training and education resources and programs, including but not limited to Pell Grants, GI Bill, Post 9/11 Veterans Educational Assistance, WIOA, higher education assistance, and Vocational Rehabilitation; </w:t>
      </w:r>
    </w:p>
    <w:p w14:paraId="3BD256D9" w14:textId="77777777" w:rsidR="006D1F64" w:rsidRPr="003D0EE6" w:rsidRDefault="006D1F64" w:rsidP="00594BD4">
      <w:pPr>
        <w:pStyle w:val="ListParagraph"/>
        <w:numPr>
          <w:ilvl w:val="0"/>
          <w:numId w:val="26"/>
        </w:numPr>
        <w:jc w:val="both"/>
        <w:rPr>
          <w:color w:val="000000"/>
        </w:rPr>
      </w:pPr>
      <w:r w:rsidRPr="003D0EE6">
        <w:rPr>
          <w:color w:val="000000"/>
        </w:rPr>
        <w:t xml:space="preserve">Outreach, intake (including identification through the State’s Worker Profiling and Reemployment Services system of UI claimants likely to exhaust benefits and related programs, such as the Reemployment Services and Eligibility Assessment program), and orientation to information and other services available through the American Job Center network; </w:t>
      </w:r>
    </w:p>
    <w:p w14:paraId="0F5AA8D0" w14:textId="77777777" w:rsidR="006D1F64" w:rsidRPr="003D0EE6" w:rsidRDefault="006D1F64" w:rsidP="00594BD4">
      <w:pPr>
        <w:pStyle w:val="ListParagraph"/>
        <w:numPr>
          <w:ilvl w:val="0"/>
          <w:numId w:val="26"/>
        </w:numPr>
        <w:jc w:val="both"/>
      </w:pPr>
      <w:r w:rsidRPr="003D0EE6">
        <w:t xml:space="preserve">Provision of information and assistance regarding filing claims under UI programs, including meaningful assistance to individuals (including individuals with language or other program access barriers) seeking assistance in filing a claim. </w:t>
      </w:r>
    </w:p>
    <w:p w14:paraId="059A394C" w14:textId="77777777" w:rsidR="00EF47F1" w:rsidRPr="003D0EE6" w:rsidRDefault="006D1F64" w:rsidP="00594BD4">
      <w:pPr>
        <w:pStyle w:val="ListParagraph"/>
        <w:numPr>
          <w:ilvl w:val="0"/>
          <w:numId w:val="27"/>
        </w:numPr>
        <w:jc w:val="both"/>
      </w:pPr>
      <w:r w:rsidRPr="003D0EE6">
        <w:t xml:space="preserve">Meaningful assistance means providing assistance: </w:t>
      </w:r>
    </w:p>
    <w:p w14:paraId="52878E35" w14:textId="6246AEAB" w:rsidR="006D1F64" w:rsidRPr="003D0EE6" w:rsidRDefault="006D1F64" w:rsidP="00594BD4">
      <w:pPr>
        <w:pStyle w:val="ListParagraph"/>
        <w:numPr>
          <w:ilvl w:val="0"/>
          <w:numId w:val="28"/>
        </w:numPr>
        <w:jc w:val="both"/>
      </w:pPr>
      <w:r w:rsidRPr="003D0EE6">
        <w:t xml:space="preserve">In the </w:t>
      </w:r>
      <w:r w:rsidR="007D2AAD">
        <w:t>OK Works</w:t>
      </w:r>
      <w:r w:rsidRPr="003D0EE6">
        <w:t xml:space="preserve"> </w:t>
      </w:r>
      <w:r w:rsidR="00621D34">
        <w:t>AJC</w:t>
      </w:r>
      <w:r w:rsidRPr="003D0EE6">
        <w:t xml:space="preserve">(s), using staff who are well trained in UI claims filing activities, the rights and responsibilities of claimants, and information necessary to file a claim, or </w:t>
      </w:r>
    </w:p>
    <w:p w14:paraId="35676BCF" w14:textId="77777777" w:rsidR="006D1F64" w:rsidRPr="003D0EE6" w:rsidRDefault="006D1F64" w:rsidP="00594BD4">
      <w:pPr>
        <w:pStyle w:val="ListParagraph"/>
        <w:numPr>
          <w:ilvl w:val="0"/>
          <w:numId w:val="28"/>
        </w:numPr>
        <w:jc w:val="both"/>
      </w:pPr>
      <w:r w:rsidRPr="003D0EE6">
        <w:t xml:space="preserve">By direct linkage: via phone or other technology, such as live web chat and video conference, as long as the assistance is provided by appropriately trained and available staff and within a reasonable time; </w:t>
      </w:r>
    </w:p>
    <w:p w14:paraId="5B9FB4E5" w14:textId="05DB17BC" w:rsidR="006D1F64" w:rsidRPr="003D0EE6" w:rsidRDefault="006D1F64" w:rsidP="00594BD4">
      <w:pPr>
        <w:pStyle w:val="ListParagraph"/>
        <w:numPr>
          <w:ilvl w:val="0"/>
          <w:numId w:val="27"/>
        </w:numPr>
        <w:jc w:val="both"/>
      </w:pPr>
      <w:r w:rsidRPr="003D0EE6">
        <w:t xml:space="preserve">Technology-based approaches to providing meaningful assistance must ensure Oklahoma Works </w:t>
      </w:r>
      <w:r w:rsidR="00621D34">
        <w:t>AJC</w:t>
      </w:r>
      <w:r w:rsidRPr="003D0EE6">
        <w:t xml:space="preserve"> customers have access to appropriately trained staff within a reasonable time.  The referral of Oklahoma Works </w:t>
      </w:r>
      <w:r w:rsidR="00621D34">
        <w:t>AJC</w:t>
      </w:r>
      <w:r w:rsidRPr="003D0EE6">
        <w:t xml:space="preserve"> customers to the OESC self-service website or public phone line where an individual is placed into a queue with all other UI claimants is not meaningful assistance; </w:t>
      </w:r>
    </w:p>
    <w:p w14:paraId="18EBA716" w14:textId="7A3CF7DD" w:rsidR="006D1F64" w:rsidRDefault="006D1F64" w:rsidP="00594BD4">
      <w:pPr>
        <w:pStyle w:val="ListParagraph"/>
        <w:numPr>
          <w:ilvl w:val="0"/>
          <w:numId w:val="27"/>
        </w:numPr>
        <w:jc w:val="both"/>
      </w:pPr>
      <w:r w:rsidRPr="003D0EE6">
        <w:t xml:space="preserve">The cost associated in providing meaningful assistance may be paid for by OESC’s UI administrative funding, the WIOA Adult or DLW programs, the ES program, or some combination of these funding sources. </w:t>
      </w:r>
    </w:p>
    <w:p w14:paraId="0FFDCFC0" w14:textId="77777777" w:rsidR="002640BA" w:rsidRPr="003D0EE6" w:rsidRDefault="002640BA" w:rsidP="002640BA">
      <w:pPr>
        <w:pStyle w:val="ListParagraph"/>
        <w:ind w:left="1800"/>
        <w:jc w:val="both"/>
      </w:pPr>
    </w:p>
    <w:p w14:paraId="2375AE11" w14:textId="1717B2F9" w:rsidR="006D1F64" w:rsidRDefault="006D1F64" w:rsidP="002640BA">
      <w:pPr>
        <w:pStyle w:val="ListParagraph"/>
        <w:jc w:val="both"/>
      </w:pPr>
      <w:r w:rsidRPr="003D0EE6">
        <w:t>OESC provides training to staff statewide ensuring they can answer basic questions about an individual’s claim.  In addition, the online filing system (ONICv2) allows individuals easily accessible self-service options such as PIN reset, claim balance and payment detail, ability to view fraud or claimant error overpayments, appeals filing, multiple browser compatibility, print or mail 1099, and ability to view non-monetary determinations.  Claimants can access these options anywhere there is internet, but specifically at the local office where staff will assist them in navigating the site and also answer questions about the claims process.</w:t>
      </w:r>
      <w:bookmarkEnd w:id="17"/>
    </w:p>
    <w:p w14:paraId="0339B31B" w14:textId="77777777" w:rsidR="002640BA" w:rsidRPr="003D0EE6" w:rsidRDefault="002640BA" w:rsidP="00B80925">
      <w:pPr>
        <w:pStyle w:val="ListParagraph"/>
      </w:pPr>
    </w:p>
    <w:p w14:paraId="09F7B21B" w14:textId="4173C583" w:rsidR="0035779E" w:rsidRDefault="006D1F64" w:rsidP="00594BD4">
      <w:pPr>
        <w:pStyle w:val="ListParagraph"/>
        <w:numPr>
          <w:ilvl w:val="0"/>
          <w:numId w:val="3"/>
        </w:numPr>
        <w:spacing w:after="240"/>
        <w:jc w:val="both"/>
        <w:rPr>
          <w:rFonts w:cs="Arial"/>
          <w:color w:val="000000"/>
        </w:rPr>
      </w:pPr>
      <w:r w:rsidRPr="002640BA">
        <w:rPr>
          <w:rStyle w:val="Heading3Char"/>
        </w:rPr>
        <w:t>Follow-up Services:</w:t>
      </w:r>
      <w:r w:rsidRPr="00FE354C">
        <w:rPr>
          <w:rFonts w:cs="Arial"/>
          <w:b/>
          <w:color w:val="000000"/>
        </w:rPr>
        <w:t xml:space="preserve"> </w:t>
      </w:r>
      <w:r w:rsidRPr="00FE354C">
        <w:rPr>
          <w:rFonts w:cs="Arial"/>
          <w:color w:val="000000"/>
        </w:rPr>
        <w:t xml:space="preserve"> </w:t>
      </w:r>
      <w:r w:rsidRPr="002640BA">
        <w:t xml:space="preserve">Follow-up services must be provided for no less than 12 months after the first day of employment for Adult and DLW participants who are placed in unsubsidized employment. Work place counseling (i.e., strategies for retaining employment) is an example of an appropriate follow-up service.  Follow-up services occur after program exit and do not change, delay, or extend the exit date (TEGL No. 10-16). </w:t>
      </w:r>
      <w:bookmarkEnd w:id="16"/>
      <w:r w:rsidR="00983738" w:rsidRPr="002640BA">
        <w:t>(See NEWDB Assessment &amp; IEP Policy for Follow-up Services)</w:t>
      </w:r>
      <w:r w:rsidR="00983738">
        <w:rPr>
          <w:rFonts w:cs="Arial"/>
          <w:color w:val="000000"/>
        </w:rPr>
        <w:t xml:space="preserve"> </w:t>
      </w:r>
    </w:p>
    <w:p w14:paraId="505797D5" w14:textId="0AAB57F8" w:rsidR="00EC047F" w:rsidRDefault="00FE354C" w:rsidP="00D17DDF">
      <w:pPr>
        <w:pStyle w:val="Heading1"/>
        <w:numPr>
          <w:ilvl w:val="0"/>
          <w:numId w:val="0"/>
        </w:numPr>
        <w:spacing w:before="0"/>
        <w:rPr>
          <w:rFonts w:eastAsia="Calibri"/>
        </w:rPr>
      </w:pPr>
      <w:r>
        <w:rPr>
          <w:rFonts w:eastAsia="Calibri"/>
        </w:rPr>
        <w:lastRenderedPageBreak/>
        <w:t xml:space="preserve">VI. </w:t>
      </w:r>
      <w:r w:rsidR="00BB2CC1">
        <w:rPr>
          <w:rFonts w:eastAsia="Calibri"/>
        </w:rPr>
        <w:t>A/DLW</w:t>
      </w:r>
      <w:r>
        <w:rPr>
          <w:rFonts w:eastAsia="Calibri"/>
        </w:rPr>
        <w:t xml:space="preserve"> TRAINING SERVICES </w:t>
      </w:r>
      <w:r w:rsidR="00BB2CC1">
        <w:rPr>
          <w:rFonts w:eastAsia="Calibri"/>
        </w:rPr>
        <w:t>AND INDIVIDUAL TRAINING ACCOUNTS</w:t>
      </w:r>
    </w:p>
    <w:p w14:paraId="74D43654" w14:textId="7E236A9F" w:rsidR="00F07CD9" w:rsidRPr="00F47240" w:rsidRDefault="00D17DDF" w:rsidP="00D17DDF">
      <w:pPr>
        <w:pStyle w:val="Heading1"/>
        <w:numPr>
          <w:ilvl w:val="0"/>
          <w:numId w:val="0"/>
        </w:numPr>
        <w:spacing w:before="0"/>
      </w:pPr>
      <w:bookmarkStart w:id="18" w:name="_Hlk528225268"/>
      <w:r>
        <w:t>6.1</w:t>
      </w:r>
      <w:r>
        <w:tab/>
      </w:r>
      <w:r w:rsidR="00813651" w:rsidRPr="008974FE">
        <w:rPr>
          <w:rStyle w:val="Heading2Char"/>
          <w:b/>
          <w:bCs/>
        </w:rPr>
        <w:t>Training Services</w:t>
      </w:r>
    </w:p>
    <w:p w14:paraId="4B6894AE" w14:textId="0C570D05" w:rsidR="00EC047F" w:rsidRPr="00C11834" w:rsidRDefault="00F07CD9" w:rsidP="00942D4B">
      <w:pPr>
        <w:spacing w:after="0"/>
        <w:ind w:left="720"/>
        <w:jc w:val="both"/>
        <w:rPr>
          <w:rFonts w:eastAsia="Calibri" w:cstheme="minorHAnsi"/>
          <w:color w:val="000000"/>
        </w:rPr>
      </w:pPr>
      <w:r>
        <w:rPr>
          <w:rFonts w:eastAsia="Calibri" w:cstheme="minorHAnsi"/>
          <w:color w:val="000000"/>
        </w:rPr>
        <w:t>T</w:t>
      </w:r>
      <w:r w:rsidR="00EC047F" w:rsidRPr="00C11834">
        <w:rPr>
          <w:rFonts w:eastAsia="Calibri" w:cstheme="minorHAnsi"/>
          <w:color w:val="000000"/>
        </w:rPr>
        <w:t xml:space="preserve">raining services are critical to the employment success of many adults and dislocated workers. </w:t>
      </w:r>
      <w:bookmarkEnd w:id="18"/>
      <w:r w:rsidR="00EC047F" w:rsidRPr="00C11834">
        <w:rPr>
          <w:rFonts w:eastAsia="Calibri" w:cstheme="minorHAnsi"/>
          <w:color w:val="000000"/>
        </w:rPr>
        <w:t xml:space="preserve">Oklahoma Works </w:t>
      </w:r>
      <w:r w:rsidR="000A3CEF">
        <w:rPr>
          <w:rFonts w:eastAsia="Calibri" w:cstheme="minorHAnsi"/>
          <w:color w:val="000000"/>
        </w:rPr>
        <w:t>AJC</w:t>
      </w:r>
      <w:r w:rsidR="00EC047F" w:rsidRPr="00C11834">
        <w:rPr>
          <w:rFonts w:eastAsia="Calibri" w:cstheme="minorHAnsi"/>
        </w:rPr>
        <w:t xml:space="preserve"> staff may determine training is appropriate </w:t>
      </w:r>
      <w:r w:rsidR="00EC047F" w:rsidRPr="00C11834">
        <w:rPr>
          <w:rFonts w:eastAsia="Calibri" w:cstheme="minorHAnsi"/>
          <w:color w:val="000000"/>
        </w:rPr>
        <w:t>regardless of whether an individual has received basic or individualized career services first.  The receipt of any training service triggers inclusion in participation for performance reporting purposes.</w:t>
      </w:r>
    </w:p>
    <w:p w14:paraId="14AFFDAF" w14:textId="2F292877" w:rsidR="00EC047F" w:rsidRPr="00C11834" w:rsidRDefault="00EC047F" w:rsidP="00942D4B">
      <w:pPr>
        <w:pStyle w:val="ListParagraph"/>
        <w:numPr>
          <w:ilvl w:val="0"/>
          <w:numId w:val="30"/>
        </w:numPr>
        <w:jc w:val="both"/>
      </w:pPr>
      <w:r w:rsidRPr="00C11834">
        <w:t xml:space="preserve">Types of training services that may be provided include: </w:t>
      </w:r>
    </w:p>
    <w:p w14:paraId="3EA3DD78" w14:textId="77777777" w:rsidR="00EC047F" w:rsidRPr="00C11834" w:rsidRDefault="00EC047F" w:rsidP="00942D4B">
      <w:pPr>
        <w:pStyle w:val="ListParagraph"/>
        <w:numPr>
          <w:ilvl w:val="0"/>
          <w:numId w:val="29"/>
        </w:numPr>
        <w:jc w:val="both"/>
        <w:rPr>
          <w:color w:val="000000"/>
        </w:rPr>
      </w:pPr>
      <w:r w:rsidRPr="00C11834">
        <w:rPr>
          <w:color w:val="000000"/>
        </w:rPr>
        <w:t>Occupational skills training, including training for nontraditional employment;</w:t>
      </w:r>
    </w:p>
    <w:p w14:paraId="2F741598" w14:textId="77777777" w:rsidR="00EC047F" w:rsidRPr="00C11834" w:rsidRDefault="00EC047F" w:rsidP="00942D4B">
      <w:pPr>
        <w:pStyle w:val="ListParagraph"/>
        <w:numPr>
          <w:ilvl w:val="0"/>
          <w:numId w:val="29"/>
        </w:numPr>
        <w:jc w:val="both"/>
      </w:pPr>
      <w:r w:rsidRPr="00C11834">
        <w:rPr>
          <w:vanish/>
        </w:rPr>
        <w:cr/>
        <w:t xml:space="preserve">b) this be s an ices under the </w:t>
      </w:r>
      <w:r w:rsidRPr="00C11834">
        <w:rPr>
          <w:vanish/>
        </w:rPr>
        <w:pgNum/>
      </w:r>
      <w:r w:rsidRPr="00C11834">
        <w:rPr>
          <w:vanish/>
        </w:rPr>
        <w:pgNum/>
      </w:r>
      <w:r w:rsidRPr="00C11834">
        <w:rPr>
          <w:vanish/>
        </w:rPr>
        <w:pgNum/>
      </w:r>
      <w:r w:rsidRPr="00C11834">
        <w:rPr>
          <w:vanish/>
        </w:rPr>
        <w:pgNum/>
      </w:r>
      <w:r w:rsidRPr="00C11834">
        <w:rPr>
          <w:vanish/>
        </w:rPr>
        <w:pgNum/>
      </w:r>
      <w:r w:rsidRPr="00C11834">
        <w:rPr>
          <w:vanish/>
        </w:rPr>
        <w:pgNum/>
      </w:r>
      <w:r w:rsidRPr="00C11834">
        <w:rPr>
          <w:vanish/>
        </w:rPr>
        <w:pgNum/>
      </w:r>
      <w:r w:rsidRPr="00C11834">
        <w:rPr>
          <w:vanish/>
        </w:rPr>
        <w:pgNum/>
      </w:r>
      <w:r w:rsidRPr="00C11834">
        <w:rPr>
          <w:vanish/>
        </w:rPr>
        <w:pgNum/>
      </w:r>
      <w:r w:rsidRPr="00C11834">
        <w:rPr>
          <w:vanish/>
        </w:rPr>
        <w:pgNum/>
      </w:r>
      <w:r w:rsidRPr="00C11834">
        <w:rPr>
          <w:vanish/>
        </w:rPr>
        <w:pgNum/>
      </w:r>
      <w:r w:rsidRPr="00C11834">
        <w:rPr>
          <w:vanish/>
        </w:rPr>
        <w:pgNum/>
      </w:r>
      <w:r w:rsidRPr="00C11834">
        <w:rPr>
          <w:vanish/>
        </w:rPr>
        <w:pgNum/>
      </w:r>
      <w:r w:rsidRPr="00C11834">
        <w:rPr>
          <w:vanish/>
        </w:rPr>
        <w:pgNum/>
      </w:r>
      <w:r w:rsidRPr="00C11834">
        <w:rPr>
          <w:vanish/>
        </w:rPr>
        <w:pgNum/>
      </w:r>
      <w:r w:rsidRPr="00C11834">
        <w:rPr>
          <w:vanish/>
        </w:rPr>
        <w:pgNum/>
      </w:r>
      <w:r w:rsidRPr="00C11834">
        <w:rPr>
          <w:vanish/>
        </w:rPr>
        <w:pgNum/>
      </w:r>
      <w:r w:rsidRPr="00C11834">
        <w:rPr>
          <w:vanish/>
        </w:rPr>
        <w:pgNum/>
      </w:r>
      <w:r w:rsidRPr="00C11834">
        <w:rPr>
          <w:vanish/>
        </w:rPr>
        <w:pgNum/>
      </w:r>
      <w:r w:rsidRPr="00C11834">
        <w:rPr>
          <w:vanish/>
        </w:rPr>
        <w:pgNum/>
      </w:r>
      <w:r w:rsidRPr="00C11834">
        <w:rPr>
          <w:vanish/>
        </w:rPr>
        <w:pgNum/>
      </w:r>
      <w:r w:rsidRPr="00C11834">
        <w:rPr>
          <w:vanish/>
        </w:rPr>
        <w:pgNum/>
      </w:r>
      <w:r w:rsidRPr="00C11834">
        <w:rPr>
          <w:vanish/>
        </w:rPr>
        <w:pgNum/>
      </w:r>
      <w:r w:rsidRPr="00C11834">
        <w:rPr>
          <w:vanish/>
        </w:rPr>
        <w:pgNum/>
      </w:r>
      <w:r w:rsidRPr="00C11834">
        <w:rPr>
          <w:vanish/>
        </w:rPr>
        <w:pgNum/>
      </w:r>
      <w:r w:rsidRPr="00C11834">
        <w:rPr>
          <w:vanish/>
        </w:rPr>
        <w:pgNum/>
      </w:r>
      <w:r w:rsidRPr="00C11834">
        <w:rPr>
          <w:vanish/>
        </w:rPr>
        <w:pgNum/>
      </w:r>
      <w:r w:rsidRPr="00C11834">
        <w:rPr>
          <w:vanish/>
        </w:rPr>
        <w:pgNum/>
      </w:r>
      <w:r w:rsidRPr="00C11834">
        <w:rPr>
          <w:vanish/>
        </w:rPr>
        <w:pgNum/>
      </w:r>
      <w:r w:rsidRPr="00C11834">
        <w:rPr>
          <w:vanish/>
        </w:rPr>
        <w:pgNum/>
      </w:r>
      <w:r w:rsidRPr="00C11834">
        <w:rPr>
          <w:vanish/>
        </w:rPr>
        <w:pgNum/>
      </w:r>
      <w:r w:rsidRPr="00C11834">
        <w:rPr>
          <w:vanish/>
        </w:rPr>
        <w:pgNum/>
      </w:r>
      <w:r w:rsidRPr="00C11834">
        <w:rPr>
          <w:vanish/>
        </w:rPr>
        <w:pgNum/>
      </w:r>
      <w:r w:rsidRPr="00C11834">
        <w:rPr>
          <w:vanish/>
        </w:rPr>
        <w:pgNum/>
      </w:r>
      <w:r w:rsidRPr="00C11834">
        <w:rPr>
          <w:vanish/>
        </w:rPr>
        <w:pgNum/>
      </w:r>
      <w:r w:rsidRPr="00C11834">
        <w:rPr>
          <w:vanish/>
        </w:rPr>
        <w:pgNum/>
      </w:r>
      <w:r w:rsidRPr="00C11834">
        <w:rPr>
          <w:vanish/>
        </w:rPr>
        <w:pgNum/>
      </w:r>
      <w:r w:rsidRPr="00C11834">
        <w:rPr>
          <w:vanish/>
        </w:rPr>
        <w:pgNum/>
      </w:r>
      <w:r w:rsidRPr="00C11834">
        <w:rPr>
          <w:vanish/>
        </w:rPr>
        <w:pgNum/>
      </w:r>
      <w:r w:rsidRPr="00C11834">
        <w:rPr>
          <w:vanish/>
        </w:rPr>
        <w:pgNum/>
      </w:r>
      <w:r w:rsidRPr="00C11834">
        <w:rPr>
          <w:vanish/>
        </w:rPr>
        <w:pgNum/>
      </w:r>
      <w:r w:rsidRPr="00C11834">
        <w:rPr>
          <w:vanish/>
        </w:rPr>
        <w:pgNum/>
      </w:r>
      <w:r w:rsidRPr="00C11834">
        <w:rPr>
          <w:vanish/>
        </w:rPr>
        <w:pgNum/>
      </w:r>
      <w:r w:rsidRPr="00C11834">
        <w:rPr>
          <w:vanish/>
        </w:rPr>
        <w:pgNum/>
      </w:r>
      <w:r w:rsidRPr="00C11834">
        <w:rPr>
          <w:vanish/>
        </w:rPr>
        <w:pgNum/>
      </w:r>
      <w:r w:rsidRPr="00C11834">
        <w:rPr>
          <w:vanish/>
        </w:rPr>
        <w:pgNum/>
      </w:r>
      <w:r w:rsidRPr="00C11834">
        <w:rPr>
          <w:vanish/>
        </w:rPr>
        <w:pgNum/>
      </w:r>
      <w:r w:rsidRPr="00C11834">
        <w:rPr>
          <w:vanish/>
        </w:rPr>
        <w:pgNum/>
      </w:r>
      <w:r w:rsidRPr="00C11834">
        <w:rPr>
          <w:vanish/>
        </w:rPr>
        <w:pgNum/>
      </w:r>
      <w:r w:rsidRPr="00C11834">
        <w:rPr>
          <w:vanish/>
        </w:rPr>
        <w:pgNum/>
      </w:r>
      <w:r w:rsidRPr="00C11834">
        <w:rPr>
          <w:vanish/>
        </w:rPr>
        <w:pgNum/>
      </w:r>
      <w:r w:rsidRPr="00C11834">
        <w:rPr>
          <w:vanish/>
        </w:rPr>
        <w:pgNum/>
      </w:r>
      <w:r w:rsidRPr="00C11834">
        <w:rPr>
          <w:vanish/>
        </w:rPr>
        <w:pgNum/>
      </w:r>
      <w:r w:rsidRPr="00C11834">
        <w:rPr>
          <w:vanish/>
        </w:rPr>
        <w:pgNum/>
      </w:r>
      <w:r w:rsidRPr="00C11834">
        <w:rPr>
          <w:vanish/>
        </w:rPr>
        <w:pgNum/>
      </w:r>
      <w:r w:rsidRPr="00C11834">
        <w:rPr>
          <w:vanish/>
        </w:rPr>
        <w:pgNum/>
      </w:r>
      <w:r w:rsidRPr="00C11834">
        <w:rPr>
          <w:vanish/>
        </w:rPr>
        <w:pgNum/>
      </w:r>
      <w:r w:rsidRPr="00C11834">
        <w:rPr>
          <w:vanish/>
        </w:rPr>
        <w:pgNum/>
      </w:r>
      <w:r w:rsidRPr="00C11834">
        <w:rPr>
          <w:vanish/>
        </w:rPr>
        <w:pgNum/>
      </w:r>
      <w:r w:rsidRPr="00C11834">
        <w:rPr>
          <w:vanish/>
        </w:rPr>
        <w:pgNum/>
      </w:r>
      <w:r w:rsidRPr="00C11834">
        <w:rPr>
          <w:vanish/>
        </w:rPr>
        <w:pgNum/>
      </w:r>
      <w:r w:rsidRPr="00C11834">
        <w:rPr>
          <w:vanish/>
        </w:rPr>
        <w:pgNum/>
      </w:r>
      <w:r w:rsidRPr="00C11834">
        <w:rPr>
          <w:vanish/>
        </w:rPr>
        <w:pgNum/>
      </w:r>
      <w:r w:rsidRPr="00C11834">
        <w:rPr>
          <w:vanish/>
        </w:rPr>
        <w:pgNum/>
      </w:r>
      <w:r w:rsidRPr="00C11834">
        <w:rPr>
          <w:vanish/>
        </w:rPr>
        <w:pgNum/>
      </w:r>
      <w:r w:rsidRPr="00C11834">
        <w:rPr>
          <w:vanish/>
        </w:rPr>
        <w:pgNum/>
      </w:r>
      <w:r w:rsidRPr="00C11834">
        <w:rPr>
          <w:vanish/>
        </w:rPr>
        <w:pgNum/>
      </w:r>
      <w:r w:rsidRPr="00C11834">
        <w:rPr>
          <w:vanish/>
        </w:rPr>
        <w:pgNum/>
      </w:r>
      <w:r w:rsidRPr="00C11834">
        <w:rPr>
          <w:vanish/>
        </w:rPr>
        <w:pgNum/>
      </w:r>
      <w:r w:rsidRPr="00C11834">
        <w:rPr>
          <w:vanish/>
        </w:rPr>
        <w:pgNum/>
      </w:r>
      <w:r w:rsidRPr="00C11834">
        <w:rPr>
          <w:vanish/>
        </w:rPr>
        <w:pgNum/>
      </w:r>
      <w:r w:rsidRPr="00C11834">
        <w:rPr>
          <w:vanish/>
        </w:rPr>
        <w:pgNum/>
      </w:r>
      <w:r w:rsidRPr="00C11834">
        <w:rPr>
          <w:vanish/>
        </w:rPr>
        <w:pgNum/>
      </w:r>
      <w:r w:rsidRPr="00C11834">
        <w:rPr>
          <w:vanish/>
        </w:rPr>
        <w:pgNum/>
      </w:r>
      <w:r w:rsidRPr="00C11834">
        <w:rPr>
          <w:vanish/>
        </w:rPr>
        <w:pgNum/>
      </w:r>
      <w:r w:rsidRPr="00C11834">
        <w:rPr>
          <w:vanish/>
        </w:rPr>
        <w:pgNum/>
      </w:r>
      <w:r w:rsidRPr="00C11834">
        <w:rPr>
          <w:vanish/>
        </w:rPr>
        <w:pgNum/>
      </w:r>
      <w:r w:rsidRPr="00C11834">
        <w:rPr>
          <w:vanish/>
        </w:rPr>
        <w:pgNum/>
      </w:r>
      <w:r w:rsidRPr="00C11834">
        <w:rPr>
          <w:vanish/>
        </w:rPr>
        <w:pgNum/>
      </w:r>
      <w:r w:rsidRPr="00C11834">
        <w:rPr>
          <w:vanish/>
        </w:rPr>
        <w:pgNum/>
      </w:r>
      <w:r w:rsidRPr="00C11834">
        <w:rPr>
          <w:vanish/>
        </w:rPr>
        <w:pgNum/>
      </w:r>
      <w:r w:rsidRPr="00C11834">
        <w:rPr>
          <w:vanish/>
        </w:rPr>
        <w:pgNum/>
      </w:r>
      <w:r w:rsidRPr="00C11834">
        <w:rPr>
          <w:vanish/>
        </w:rPr>
        <w:pgNum/>
      </w:r>
      <w:r w:rsidRPr="00C11834">
        <w:rPr>
          <w:vanish/>
        </w:rPr>
        <w:pgNum/>
      </w:r>
      <w:r w:rsidRPr="00C11834">
        <w:rPr>
          <w:vanish/>
        </w:rPr>
        <w:pgNum/>
      </w:r>
      <w:r w:rsidRPr="00C11834">
        <w:rPr>
          <w:vanish/>
        </w:rPr>
        <w:pgNum/>
      </w:r>
      <w:r w:rsidRPr="00C11834">
        <w:rPr>
          <w:vanish/>
        </w:rPr>
        <w:pgNum/>
      </w:r>
      <w:r w:rsidRPr="00C11834">
        <w:rPr>
          <w:vanish/>
        </w:rPr>
        <w:pgNum/>
      </w:r>
      <w:r w:rsidRPr="00C11834">
        <w:rPr>
          <w:vanish/>
        </w:rPr>
        <w:pgNum/>
      </w:r>
      <w:r w:rsidRPr="00C11834">
        <w:rPr>
          <w:vanish/>
        </w:rPr>
        <w:pgNum/>
      </w:r>
      <w:r w:rsidRPr="00C11834">
        <w:rPr>
          <w:vanish/>
        </w:rPr>
        <w:pgNum/>
      </w:r>
      <w:r w:rsidRPr="00C11834">
        <w:rPr>
          <w:vanish/>
        </w:rPr>
        <w:pgNum/>
      </w:r>
      <w:r w:rsidRPr="00C11834">
        <w:rPr>
          <w:vanish/>
        </w:rPr>
        <w:pgNum/>
      </w:r>
      <w:r w:rsidRPr="00C11834">
        <w:rPr>
          <w:vanish/>
        </w:rPr>
        <w:pgNum/>
      </w:r>
      <w:r w:rsidRPr="00C11834">
        <w:rPr>
          <w:vanish/>
        </w:rPr>
        <w:pgNum/>
      </w:r>
      <w:r w:rsidRPr="00C11834">
        <w:rPr>
          <w:vanish/>
        </w:rPr>
        <w:pgNum/>
      </w:r>
      <w:r w:rsidRPr="00C11834">
        <w:rPr>
          <w:color w:val="000000"/>
        </w:rPr>
        <w:t xml:space="preserve">On-the-job training; </w:t>
      </w:r>
    </w:p>
    <w:p w14:paraId="136D2942" w14:textId="77777777" w:rsidR="00EC047F" w:rsidRPr="00C11834" w:rsidRDefault="00EC047F" w:rsidP="00942D4B">
      <w:pPr>
        <w:pStyle w:val="ListParagraph"/>
        <w:numPr>
          <w:ilvl w:val="0"/>
          <w:numId w:val="29"/>
        </w:numPr>
        <w:jc w:val="both"/>
      </w:pPr>
      <w:r w:rsidRPr="00C11834">
        <w:rPr>
          <w:color w:val="000000"/>
        </w:rPr>
        <w:t>Incumbent worker training;</w:t>
      </w:r>
    </w:p>
    <w:p w14:paraId="5DD495ED" w14:textId="77777777" w:rsidR="00EC047F" w:rsidRPr="00C11834" w:rsidRDefault="00EC047F" w:rsidP="00942D4B">
      <w:pPr>
        <w:pStyle w:val="ListParagraph"/>
        <w:numPr>
          <w:ilvl w:val="0"/>
          <w:numId w:val="29"/>
        </w:numPr>
        <w:jc w:val="both"/>
        <w:rPr>
          <w:color w:val="000000"/>
        </w:rPr>
      </w:pPr>
      <w:r w:rsidRPr="00C11834">
        <w:rPr>
          <w:color w:val="000000"/>
        </w:rPr>
        <w:t xml:space="preserve">Programs that combine workplace training with related instruction, which may include cooperative education programs; </w:t>
      </w:r>
    </w:p>
    <w:p w14:paraId="3F8893D8" w14:textId="77777777" w:rsidR="00EC047F" w:rsidRPr="00C11834" w:rsidRDefault="00EC047F" w:rsidP="00942D4B">
      <w:pPr>
        <w:pStyle w:val="ListParagraph"/>
        <w:numPr>
          <w:ilvl w:val="0"/>
          <w:numId w:val="29"/>
        </w:numPr>
        <w:jc w:val="both"/>
        <w:rPr>
          <w:color w:val="000000"/>
        </w:rPr>
      </w:pPr>
      <w:r w:rsidRPr="00C11834">
        <w:rPr>
          <w:color w:val="000000"/>
        </w:rPr>
        <w:t xml:space="preserve">Training programs operated by the private sector; </w:t>
      </w:r>
    </w:p>
    <w:p w14:paraId="759C8AC6" w14:textId="77777777" w:rsidR="00EC047F" w:rsidRPr="00C11834" w:rsidRDefault="00EC047F" w:rsidP="00942D4B">
      <w:pPr>
        <w:pStyle w:val="ListParagraph"/>
        <w:numPr>
          <w:ilvl w:val="0"/>
          <w:numId w:val="29"/>
        </w:numPr>
        <w:jc w:val="both"/>
        <w:rPr>
          <w:color w:val="000000"/>
        </w:rPr>
      </w:pPr>
      <w:r w:rsidRPr="00C11834">
        <w:rPr>
          <w:color w:val="000000"/>
        </w:rPr>
        <w:t xml:space="preserve">Skill upgrading and retraining; </w:t>
      </w:r>
    </w:p>
    <w:p w14:paraId="1184CECF" w14:textId="77777777" w:rsidR="00EC047F" w:rsidRPr="00C11834" w:rsidRDefault="00EC047F" w:rsidP="00942D4B">
      <w:pPr>
        <w:pStyle w:val="ListParagraph"/>
        <w:numPr>
          <w:ilvl w:val="0"/>
          <w:numId w:val="29"/>
        </w:numPr>
        <w:jc w:val="both"/>
      </w:pPr>
      <w:r w:rsidRPr="00C11834">
        <w:rPr>
          <w:color w:val="000000"/>
        </w:rPr>
        <w:t>Entrepreneurial training;</w:t>
      </w:r>
    </w:p>
    <w:p w14:paraId="2EFE9EDC" w14:textId="77777777" w:rsidR="00EC047F" w:rsidRPr="00C11834" w:rsidRDefault="00EC047F" w:rsidP="00942D4B">
      <w:pPr>
        <w:pStyle w:val="ListParagraph"/>
        <w:numPr>
          <w:ilvl w:val="0"/>
          <w:numId w:val="29"/>
        </w:numPr>
        <w:jc w:val="both"/>
      </w:pPr>
      <w:r w:rsidRPr="00C11834">
        <w:rPr>
          <w:color w:val="000000"/>
        </w:rPr>
        <w:t>Transitional jobs in accordance with WIOA 134(d)(5);</w:t>
      </w:r>
    </w:p>
    <w:p w14:paraId="79213895" w14:textId="77777777" w:rsidR="00EC047F" w:rsidRPr="00C11834" w:rsidRDefault="00EC047F" w:rsidP="00942D4B">
      <w:pPr>
        <w:pStyle w:val="ListParagraph"/>
        <w:numPr>
          <w:ilvl w:val="0"/>
          <w:numId w:val="29"/>
        </w:numPr>
        <w:jc w:val="both"/>
        <w:rPr>
          <w:color w:val="000000"/>
        </w:rPr>
      </w:pPr>
      <w:r w:rsidRPr="00C11834">
        <w:rPr>
          <w:color w:val="000000"/>
        </w:rPr>
        <w:t xml:space="preserve">Job readiness training provided in combination with the training services described in any of clauses (1) through (8), above; </w:t>
      </w:r>
    </w:p>
    <w:p w14:paraId="0A84A418" w14:textId="77777777" w:rsidR="00EC047F" w:rsidRPr="00C11834" w:rsidRDefault="00EC047F" w:rsidP="00942D4B">
      <w:pPr>
        <w:pStyle w:val="ListParagraph"/>
        <w:numPr>
          <w:ilvl w:val="0"/>
          <w:numId w:val="29"/>
        </w:numPr>
        <w:jc w:val="both"/>
      </w:pPr>
      <w:r w:rsidRPr="00C11834">
        <w:rPr>
          <w:color w:val="000000"/>
        </w:rPr>
        <w:t>Adult education and literacy activities, including activities of English Language acquisition and integrated education and training programs, provided concurrently or in combination with services provided in any of clauses (1) though (7); and</w:t>
      </w:r>
    </w:p>
    <w:p w14:paraId="1D97D8DB" w14:textId="3E875599" w:rsidR="00EC047F" w:rsidRDefault="00EC047F" w:rsidP="00942D4B">
      <w:pPr>
        <w:pStyle w:val="ListParagraph"/>
        <w:numPr>
          <w:ilvl w:val="0"/>
          <w:numId w:val="29"/>
        </w:numPr>
        <w:jc w:val="both"/>
      </w:pPr>
      <w:r w:rsidRPr="00C11834">
        <w:t>Customized training</w:t>
      </w:r>
      <w:r w:rsidR="000F5974">
        <w:t>; when</w:t>
      </w:r>
      <w:r w:rsidRPr="00C11834">
        <w:t xml:space="preserve"> conducted with a commitment by an employer or group of employers to employ an individual upon successful completion of the training. </w:t>
      </w:r>
    </w:p>
    <w:p w14:paraId="003B14D2" w14:textId="15135587" w:rsidR="002C3774" w:rsidRPr="00C11834" w:rsidRDefault="002C3774" w:rsidP="00942D4B">
      <w:pPr>
        <w:pStyle w:val="ListParagraph"/>
        <w:numPr>
          <w:ilvl w:val="0"/>
          <w:numId w:val="29"/>
        </w:numPr>
        <w:jc w:val="both"/>
      </w:pPr>
      <w:r>
        <w:t xml:space="preserve">Work </w:t>
      </w:r>
      <w:r w:rsidR="00FD2C21">
        <w:t>Experience; which</w:t>
      </w:r>
      <w:r w:rsidR="000F5974">
        <w:t xml:space="preserve"> </w:t>
      </w:r>
      <w:r w:rsidR="00DD3D0E">
        <w:t>are planned structured experience that take place in a workplace for a limited amount of time, can be paid or unpaid, and may be in the public, private or non-profit sectors.</w:t>
      </w:r>
    </w:p>
    <w:p w14:paraId="363E8448" w14:textId="77777777" w:rsidR="00813651" w:rsidRDefault="00813651" w:rsidP="00942D4B">
      <w:pPr>
        <w:pStyle w:val="ListParagraph"/>
        <w:jc w:val="both"/>
        <w:rPr>
          <w:rFonts w:eastAsia="Calibri" w:cstheme="minorHAnsi"/>
          <w:color w:val="000000"/>
        </w:rPr>
      </w:pPr>
    </w:p>
    <w:p w14:paraId="3AF1F4D9" w14:textId="4AA320F8" w:rsidR="00EC047F" w:rsidRPr="00D17DDF" w:rsidRDefault="00EC047F" w:rsidP="00942D4B">
      <w:pPr>
        <w:pStyle w:val="ListParagraph"/>
        <w:numPr>
          <w:ilvl w:val="0"/>
          <w:numId w:val="30"/>
        </w:numPr>
        <w:jc w:val="both"/>
        <w:rPr>
          <w:rFonts w:eastAsia="Calibri"/>
        </w:rPr>
      </w:pPr>
      <w:r w:rsidRPr="00D17DDF">
        <w:rPr>
          <w:rFonts w:eastAsia="Calibri"/>
        </w:rPr>
        <w:t xml:space="preserve">As with the provision of career services, </w:t>
      </w:r>
      <w:r w:rsidRPr="005268F8">
        <w:t>Oklahoma Works</w:t>
      </w:r>
      <w:r w:rsidR="004B3566">
        <w:t xml:space="preserve"> </w:t>
      </w:r>
      <w:r w:rsidR="00621D34">
        <w:t>AJC’s</w:t>
      </w:r>
      <w:r w:rsidRPr="005268F8">
        <w:t xml:space="preserve"> must use, when available, previous assessments or evaluations that have been conducted</w:t>
      </w:r>
      <w:r w:rsidRPr="006173CD">
        <w:t xml:space="preserve"> by another education or training partner, when making training determinations, thus reducing duplication and developing enhanced alignment across partner programs. A recent assessment completed by a workforce partner program may be used to determine </w:t>
      </w:r>
      <w:r w:rsidRPr="00D17DDF">
        <w:rPr>
          <w:rFonts w:eastAsia="Times New Roman"/>
          <w:bCs/>
        </w:rPr>
        <w:t>academic levels, skill levels, and service needs</w:t>
      </w:r>
      <w:r w:rsidRPr="006173CD">
        <w:t xml:space="preserve">.  </w:t>
      </w:r>
      <w:r w:rsidRPr="00D17DDF">
        <w:rPr>
          <w:rFonts w:eastAsia="Calibri"/>
        </w:rPr>
        <w:t>All assessment scores must be entered in the appropriate enrollment section of OKJobMatch (Adult or DLW) for reporting purposes</w:t>
      </w:r>
      <w:r w:rsidR="00813651" w:rsidRPr="00D17DDF">
        <w:rPr>
          <w:rFonts w:eastAsia="Calibri"/>
        </w:rPr>
        <w:t xml:space="preserve"> (See NEWDB Assessment and IEP Policy)</w:t>
      </w:r>
      <w:r w:rsidRPr="00D17DDF">
        <w:rPr>
          <w:rFonts w:eastAsia="Calibri"/>
        </w:rPr>
        <w:t xml:space="preserve">.  </w:t>
      </w:r>
      <w:r w:rsidR="00AF2B38">
        <w:t>These assessments must be dated within the last 6 months.</w:t>
      </w:r>
    </w:p>
    <w:p w14:paraId="21ABD7E6" w14:textId="77777777" w:rsidR="00813651" w:rsidRDefault="00813651" w:rsidP="00942D4B">
      <w:pPr>
        <w:pStyle w:val="ListParagraph"/>
        <w:jc w:val="both"/>
        <w:rPr>
          <w:rFonts w:eastAsia="Calibri" w:cstheme="minorHAnsi"/>
          <w:color w:val="000000"/>
        </w:rPr>
      </w:pPr>
    </w:p>
    <w:p w14:paraId="2A34035C" w14:textId="114BBD5A" w:rsidR="00EC047F" w:rsidRPr="00D17DDF" w:rsidRDefault="00EC047F" w:rsidP="00942D4B">
      <w:pPr>
        <w:pStyle w:val="ListParagraph"/>
        <w:numPr>
          <w:ilvl w:val="0"/>
          <w:numId w:val="30"/>
        </w:numPr>
        <w:jc w:val="both"/>
      </w:pPr>
      <w:r w:rsidRPr="00D17DDF">
        <w:t>Under WIOA, training services may be made available to adults and dislocated workers who:</w:t>
      </w:r>
    </w:p>
    <w:p w14:paraId="28719E8A" w14:textId="4FCCED27" w:rsidR="00EC047F" w:rsidRPr="00D17DDF" w:rsidRDefault="00EC047F" w:rsidP="00942D4B">
      <w:pPr>
        <w:pStyle w:val="ListParagraph"/>
        <w:numPr>
          <w:ilvl w:val="0"/>
          <w:numId w:val="31"/>
        </w:numPr>
        <w:jc w:val="both"/>
      </w:pPr>
      <w:r w:rsidRPr="00D17DDF">
        <w:t xml:space="preserve">After an interview, evaluation, or assessment and career planning activities by an Oklahoma Works </w:t>
      </w:r>
      <w:r w:rsidR="00621D34" w:rsidRPr="00D17DDF">
        <w:t>AJC</w:t>
      </w:r>
      <w:r w:rsidRPr="00D17DDF">
        <w:t xml:space="preserve"> staff or partner, are determined:</w:t>
      </w:r>
    </w:p>
    <w:p w14:paraId="29DBDDDD" w14:textId="77777777" w:rsidR="00EC047F" w:rsidRPr="00D17DDF" w:rsidRDefault="00EC047F" w:rsidP="00942D4B">
      <w:pPr>
        <w:pStyle w:val="ListParagraph"/>
        <w:numPr>
          <w:ilvl w:val="0"/>
          <w:numId w:val="32"/>
        </w:numPr>
        <w:jc w:val="both"/>
      </w:pPr>
      <w:r w:rsidRPr="00D17DDF">
        <w:t>Unlikely or unable to obtain or retain employment that leads to economic self-sufficiency or wages comparable to or higher than wages from previous employment, through career services alone;</w:t>
      </w:r>
    </w:p>
    <w:p w14:paraId="72DB36EE" w14:textId="77777777" w:rsidR="00EC047F" w:rsidRPr="00D17DDF" w:rsidRDefault="00EC047F" w:rsidP="00942D4B">
      <w:pPr>
        <w:pStyle w:val="ListParagraph"/>
        <w:numPr>
          <w:ilvl w:val="0"/>
          <w:numId w:val="32"/>
        </w:numPr>
        <w:jc w:val="both"/>
      </w:pPr>
      <w:r w:rsidRPr="00D17DDF">
        <w:lastRenderedPageBreak/>
        <w:t>In need of training services to obtain or retain employment that leads to economic self-sufficiency or wages comparable to or higher than wages from previous employment; and</w:t>
      </w:r>
    </w:p>
    <w:p w14:paraId="5ED74BE2" w14:textId="77777777" w:rsidR="00EC047F" w:rsidRPr="00D17DDF" w:rsidRDefault="00EC047F" w:rsidP="00942D4B">
      <w:pPr>
        <w:pStyle w:val="ListParagraph"/>
        <w:numPr>
          <w:ilvl w:val="0"/>
          <w:numId w:val="32"/>
        </w:numPr>
        <w:jc w:val="both"/>
      </w:pPr>
      <w:r w:rsidRPr="00D17DDF">
        <w:t>Have the skills and qualifications to successfully participate in the selected program of training services;</w:t>
      </w:r>
    </w:p>
    <w:p w14:paraId="04870E06" w14:textId="6A5A71AD" w:rsidR="00EC047F" w:rsidRPr="00D17DDF" w:rsidRDefault="00EC047F" w:rsidP="00942D4B">
      <w:pPr>
        <w:pStyle w:val="ListParagraph"/>
        <w:numPr>
          <w:ilvl w:val="0"/>
          <w:numId w:val="31"/>
        </w:numPr>
        <w:jc w:val="both"/>
      </w:pPr>
      <w:r w:rsidRPr="00D17DDF">
        <w:t xml:space="preserve">Select a program of training services directly linked to the employment opportunities in the </w:t>
      </w:r>
      <w:r w:rsidR="002C3774" w:rsidRPr="00D17DDF">
        <w:t xml:space="preserve">NE Oklahoma </w:t>
      </w:r>
      <w:r w:rsidRPr="00D17DDF">
        <w:t>area or the</w:t>
      </w:r>
      <w:r w:rsidR="002C3774" w:rsidRPr="00D17DDF">
        <w:t xml:space="preserve"> NE</w:t>
      </w:r>
      <w:r w:rsidRPr="00D17DDF">
        <w:t xml:space="preserve"> planning region, or in another area to which the individual is willing to commute or relocate; </w:t>
      </w:r>
    </w:p>
    <w:p w14:paraId="4C31A564" w14:textId="228EB146" w:rsidR="00EC047F" w:rsidRPr="00D17DDF" w:rsidRDefault="00EC047F" w:rsidP="00942D4B">
      <w:pPr>
        <w:pStyle w:val="ListParagraph"/>
        <w:numPr>
          <w:ilvl w:val="0"/>
          <w:numId w:val="31"/>
        </w:numPr>
        <w:jc w:val="both"/>
      </w:pPr>
      <w:r w:rsidRPr="00D17DDF">
        <w:t xml:space="preserve">Are unable to obtain other grant assistance for such services, including State-funded training funds, TAA, TANF, or Federal Pell Grants, or require assistance beyond that available through other workforce partners, educational entities or other grant assistance programs, including Federal Pell Grants and TANF-funded training programs at local community colleges and technology centers.  </w:t>
      </w:r>
      <w:r w:rsidR="0014111E" w:rsidRPr="00D17DDF">
        <w:t>NE</w:t>
      </w:r>
      <w:r w:rsidRPr="00D17DDF">
        <w:t>WDB and service providers must ensure the coordination of funds available to pay for training, taking into consideration the following:</w:t>
      </w:r>
    </w:p>
    <w:p w14:paraId="27A2C36C" w14:textId="77777777" w:rsidR="00EC047F" w:rsidRPr="00D17DDF" w:rsidRDefault="00EC047F" w:rsidP="00942D4B">
      <w:pPr>
        <w:pStyle w:val="ListParagraph"/>
        <w:numPr>
          <w:ilvl w:val="0"/>
          <w:numId w:val="33"/>
        </w:numPr>
        <w:jc w:val="both"/>
      </w:pPr>
      <w:r w:rsidRPr="00D17DDF">
        <w:t>Pell grants and other grant assistance must be utilized first for the cost of training and mandatory fees;</w:t>
      </w:r>
    </w:p>
    <w:p w14:paraId="2A2FD4C3" w14:textId="77777777" w:rsidR="00EC047F" w:rsidRPr="00D17DDF" w:rsidRDefault="00EC047F" w:rsidP="00942D4B">
      <w:pPr>
        <w:pStyle w:val="ListParagraph"/>
        <w:numPr>
          <w:ilvl w:val="0"/>
          <w:numId w:val="33"/>
        </w:numPr>
        <w:jc w:val="both"/>
      </w:pPr>
      <w:r w:rsidRPr="00D17DDF">
        <w:t xml:space="preserve">Title I funds may be used to supplement a Pell grant and/or other grant assistance that does not cover the entire cost of tuition and mandatory fees, but may not supplant a Pell or other grant assistance; </w:t>
      </w:r>
    </w:p>
    <w:p w14:paraId="0801FE1B" w14:textId="775290A7" w:rsidR="00EC047F" w:rsidRPr="00D17DDF" w:rsidRDefault="00EC047F" w:rsidP="00942D4B">
      <w:pPr>
        <w:pStyle w:val="ListParagraph"/>
        <w:numPr>
          <w:ilvl w:val="0"/>
          <w:numId w:val="33"/>
        </w:numPr>
        <w:jc w:val="both"/>
      </w:pPr>
      <w:r w:rsidRPr="00D17DDF">
        <w:t xml:space="preserve">Training services may be provided to an individual while an application for a Pell Grant is pending, as long as arrangements have been made with the training provider and the WIOA participant regarding allocation of the Pell Grant. If the individual is subsequently awarded a Pell Grant, the training provider must reimburse the </w:t>
      </w:r>
      <w:r w:rsidR="00A44BBF" w:rsidRPr="00D17DDF">
        <w:t>NEWDB</w:t>
      </w:r>
      <w:r w:rsidRPr="00D17DDF">
        <w:t xml:space="preserve"> the WIOA funds used to underwrite the training for the amount the Pell Grant covers, including any education fees the training provider charged to attend training, from the Pell Grant award. Reimbursement is not required from the portion of the Pell Grant disbursed to the WIOA participant for education-related expenses, per 20 CFR § 680.230; </w:t>
      </w:r>
    </w:p>
    <w:p w14:paraId="4F7E0D4D" w14:textId="2AC7D69C" w:rsidR="00EC047F" w:rsidRPr="00D17DDF" w:rsidRDefault="00EC047F" w:rsidP="00942D4B">
      <w:pPr>
        <w:pStyle w:val="ListParagraph"/>
        <w:numPr>
          <w:ilvl w:val="0"/>
          <w:numId w:val="33"/>
        </w:numPr>
        <w:jc w:val="both"/>
      </w:pPr>
      <w:r w:rsidRPr="00D17DDF">
        <w:t xml:space="preserve">The full cost of participation in training services may be taken into consideration, including the cost of support services and other appropriate costs related to training program attendance, as defined by the </w:t>
      </w:r>
      <w:r w:rsidR="00A03CA4" w:rsidRPr="00D17DDF">
        <w:t>NE</w:t>
      </w:r>
      <w:r w:rsidRPr="00D17DDF">
        <w:t>WDB;</w:t>
      </w:r>
      <w:r w:rsidR="00A03CA4" w:rsidRPr="00D17DDF">
        <w:t xml:space="preserve"> </w:t>
      </w:r>
      <w:r w:rsidR="002C3774" w:rsidRPr="00D17DDF">
        <w:t xml:space="preserve">Tuition, Books, Fees, Uniforms, Tools, Equipment, &amp; others expenses that are training related.  </w:t>
      </w:r>
    </w:p>
    <w:p w14:paraId="31D1255B" w14:textId="77777777" w:rsidR="00EC047F" w:rsidRPr="00D17DDF" w:rsidRDefault="00EC047F" w:rsidP="00942D4B">
      <w:pPr>
        <w:pStyle w:val="ListParagraph"/>
        <w:numPr>
          <w:ilvl w:val="0"/>
          <w:numId w:val="33"/>
        </w:numPr>
        <w:jc w:val="both"/>
      </w:pPr>
      <w:r w:rsidRPr="00D17DDF">
        <w:t>VA benefits for education and training services do not constitute “other grant assistance” under WIOA’s eligibility requirements.  Therefore, eligibility for VA benefits for education or training do not preclude a veteran or the veteran’s eligible spouse from receiving WIOA funded services, including training funds.  WIOA program operators may not require veterans or spouses of veterans to exhaust their entitlement to VA funded training benefits prior to allowing them to enroll in WIOA funded training;</w:t>
      </w:r>
    </w:p>
    <w:p w14:paraId="3F92DA7E" w14:textId="77777777" w:rsidR="00EC047F" w:rsidRPr="00D17DDF" w:rsidRDefault="00EC047F" w:rsidP="00942D4B">
      <w:pPr>
        <w:pStyle w:val="ListParagraph"/>
        <w:numPr>
          <w:ilvl w:val="0"/>
          <w:numId w:val="33"/>
        </w:numPr>
        <w:jc w:val="both"/>
      </w:pPr>
      <w:r w:rsidRPr="00D17DDF">
        <w:t>Individuals who are members of a group covered under a petition filed for TAA and are awaiting a determination may be co-enrolled in Adult and/or DLW programs.  If the TAA petition is certified, the worker will transition to TAA approved training.  If the petition is denied, the worker will continue training under WIOA; and</w:t>
      </w:r>
    </w:p>
    <w:p w14:paraId="7FD4E3B8" w14:textId="2CCB54A7" w:rsidR="00EC047F" w:rsidRPr="00C11834" w:rsidRDefault="00EC047F" w:rsidP="00942D4B">
      <w:pPr>
        <w:pStyle w:val="ListParagraph"/>
        <w:numPr>
          <w:ilvl w:val="0"/>
          <w:numId w:val="31"/>
        </w:numPr>
        <w:jc w:val="both"/>
      </w:pPr>
      <w:r w:rsidRPr="00D17DDF">
        <w:lastRenderedPageBreak/>
        <w:t xml:space="preserve">For training services provided through the Adult funding stream, are determined eligible in accordance with the Adult Priority of Service as described in in this issuance and per </w:t>
      </w:r>
      <w:r w:rsidR="004B3566" w:rsidRPr="00D17DDF">
        <w:t xml:space="preserve">the </w:t>
      </w:r>
      <w:r w:rsidR="00A44BBF" w:rsidRPr="00D17DDF">
        <w:t>NEWDB</w:t>
      </w:r>
      <w:r w:rsidRPr="00D17DDF">
        <w:t xml:space="preserve"> policy.</w:t>
      </w:r>
      <w:r w:rsidRPr="00C11834">
        <w:t xml:space="preserve"> </w:t>
      </w:r>
    </w:p>
    <w:p w14:paraId="4C053BFB" w14:textId="77777777" w:rsidR="00813651" w:rsidRDefault="00813651" w:rsidP="00942D4B">
      <w:pPr>
        <w:pStyle w:val="ListParagraph"/>
        <w:autoSpaceDE w:val="0"/>
        <w:autoSpaceDN w:val="0"/>
        <w:adjustRightInd w:val="0"/>
        <w:jc w:val="both"/>
        <w:rPr>
          <w:rFonts w:eastAsia="Calibri" w:cstheme="minorHAnsi"/>
          <w:color w:val="000000"/>
        </w:rPr>
      </w:pPr>
    </w:p>
    <w:p w14:paraId="253102C8" w14:textId="5057748A" w:rsidR="00EC047F" w:rsidRPr="00813651" w:rsidRDefault="00EC047F" w:rsidP="00942D4B">
      <w:pPr>
        <w:pStyle w:val="ListParagraph"/>
        <w:numPr>
          <w:ilvl w:val="0"/>
          <w:numId w:val="30"/>
        </w:numPr>
        <w:jc w:val="both"/>
      </w:pPr>
      <w:r w:rsidRPr="00813651">
        <w:t>Students who are awarded Pell grants or other grant assistance may benefit from a combination of the Pell grant with WIOA training fund</w:t>
      </w:r>
      <w:r w:rsidR="007A6975" w:rsidRPr="00813651">
        <w:t>s,</w:t>
      </w:r>
      <w:r w:rsidRPr="00813651">
        <w:t xml:space="preserve"> WIOA-funded supportive services </w:t>
      </w:r>
      <w:r w:rsidRPr="0046775A">
        <w:t>and/or needs-related payments</w:t>
      </w:r>
      <w:r w:rsidRPr="00813651">
        <w:t xml:space="preserve">, </w:t>
      </w:r>
      <w:r w:rsidR="007A6975" w:rsidRPr="00813651">
        <w:t xml:space="preserve">only </w:t>
      </w:r>
      <w:r w:rsidRPr="00813651">
        <w:t xml:space="preserve">when the cost of training exceeds the amount of the Pell and any other financial aid. </w:t>
      </w:r>
      <w:r w:rsidR="00875B26" w:rsidRPr="008974FE">
        <w:rPr>
          <w:u w:val="single"/>
        </w:rPr>
        <w:t>Do</w:t>
      </w:r>
      <w:r w:rsidRPr="008974FE">
        <w:rPr>
          <w:u w:val="single"/>
        </w:rPr>
        <w:t>cumentation of the coordination of resources is maintained for each participant, including but not limited to, the following</w:t>
      </w:r>
      <w:r w:rsidRPr="00813651">
        <w:t xml:space="preserve">: </w:t>
      </w:r>
    </w:p>
    <w:p w14:paraId="64446CB9" w14:textId="6D0AA59F" w:rsidR="00EC047F" w:rsidRPr="008974FE" w:rsidRDefault="00813651" w:rsidP="00942D4B">
      <w:pPr>
        <w:pStyle w:val="ListParagraph"/>
        <w:numPr>
          <w:ilvl w:val="0"/>
          <w:numId w:val="34"/>
        </w:numPr>
        <w:jc w:val="both"/>
      </w:pPr>
      <w:r w:rsidRPr="008974FE">
        <w:t>W</w:t>
      </w:r>
      <w:r w:rsidR="00EC047F" w:rsidRPr="008974FE">
        <w:t>hether an individual did or did not receive a Pell grant or other grant assistance for the cost of training;</w:t>
      </w:r>
    </w:p>
    <w:p w14:paraId="300BECA5" w14:textId="02E8CB4B" w:rsidR="00EC047F" w:rsidRPr="008974FE" w:rsidRDefault="00813651" w:rsidP="00942D4B">
      <w:pPr>
        <w:pStyle w:val="ListParagraph"/>
        <w:numPr>
          <w:ilvl w:val="0"/>
          <w:numId w:val="34"/>
        </w:numPr>
        <w:jc w:val="both"/>
      </w:pPr>
      <w:r w:rsidRPr="008974FE">
        <w:t>F</w:t>
      </w:r>
      <w:r w:rsidR="00EC047F" w:rsidRPr="008974FE">
        <w:t>or individuals not Pell eligible, the reason for ineligibility, e.g., the participant is in default status, the short</w:t>
      </w:r>
      <w:r w:rsidR="00875B26" w:rsidRPr="008974FE">
        <w:t>-</w:t>
      </w:r>
      <w:r w:rsidR="00EC047F" w:rsidRPr="008974FE">
        <w:t xml:space="preserve">term training program does not qualify, ineligibility due to household income, etc.; </w:t>
      </w:r>
    </w:p>
    <w:p w14:paraId="54823DF2" w14:textId="1A41137B" w:rsidR="00EC047F" w:rsidRPr="008974FE" w:rsidRDefault="00813651" w:rsidP="00942D4B">
      <w:pPr>
        <w:pStyle w:val="ListParagraph"/>
        <w:numPr>
          <w:ilvl w:val="0"/>
          <w:numId w:val="34"/>
        </w:numPr>
        <w:jc w:val="both"/>
      </w:pPr>
      <w:r w:rsidRPr="008974FE">
        <w:t>A</w:t>
      </w:r>
      <w:r w:rsidR="00EC047F" w:rsidRPr="008974FE">
        <w:t xml:space="preserve"> list of all funding sources considered and the availability of the resource; and</w:t>
      </w:r>
    </w:p>
    <w:p w14:paraId="238F5C1C" w14:textId="03B2D74D" w:rsidR="00EC047F" w:rsidRPr="008974FE" w:rsidRDefault="00813651" w:rsidP="00942D4B">
      <w:pPr>
        <w:pStyle w:val="ListParagraph"/>
        <w:numPr>
          <w:ilvl w:val="0"/>
          <w:numId w:val="34"/>
        </w:numPr>
        <w:jc w:val="both"/>
      </w:pPr>
      <w:r w:rsidRPr="008974FE">
        <w:t>A</w:t>
      </w:r>
      <w:r w:rsidR="00EC047F" w:rsidRPr="008974FE">
        <w:t xml:space="preserve"> list or budget of the participant’s estimated monthly living expenses used to determine financial need, excluding any costs associated with alcohol, cigarettes, and entertainment</w:t>
      </w:r>
      <w:r w:rsidR="0035265F" w:rsidRPr="008974FE">
        <w:t xml:space="preserve"> (</w:t>
      </w:r>
      <w:r w:rsidR="001D2E98" w:rsidRPr="008974FE">
        <w:t xml:space="preserve">Personal Budget Form, Attachment </w:t>
      </w:r>
      <w:r w:rsidR="00E72AC7" w:rsidRPr="008974FE">
        <w:t>B</w:t>
      </w:r>
      <w:r w:rsidR="001D2E98" w:rsidRPr="008974FE">
        <w:t>).</w:t>
      </w:r>
    </w:p>
    <w:p w14:paraId="0048AF2A" w14:textId="742AB460" w:rsidR="00EC047F" w:rsidRPr="00C11834" w:rsidRDefault="00875B26" w:rsidP="00942D4B">
      <w:pPr>
        <w:autoSpaceDE w:val="0"/>
        <w:autoSpaceDN w:val="0"/>
        <w:adjustRightInd w:val="0"/>
        <w:ind w:left="360"/>
        <w:jc w:val="both"/>
        <w:rPr>
          <w:rFonts w:cstheme="minorHAnsi"/>
          <w:color w:val="000000"/>
        </w:rPr>
      </w:pPr>
      <w:r w:rsidRPr="00813651">
        <w:rPr>
          <w:rFonts w:eastAsia="Calibri" w:cstheme="minorHAnsi"/>
          <w:color w:val="000000"/>
        </w:rPr>
        <w:t>The O</w:t>
      </w:r>
      <w:r w:rsidR="007D2AAD">
        <w:rPr>
          <w:rFonts w:eastAsia="Calibri" w:cstheme="minorHAnsi"/>
          <w:color w:val="000000"/>
        </w:rPr>
        <w:t>klahoma Works AJC</w:t>
      </w:r>
      <w:r w:rsidR="004B3566">
        <w:rPr>
          <w:rFonts w:eastAsia="Calibri" w:cstheme="minorHAnsi"/>
          <w:color w:val="000000"/>
        </w:rPr>
        <w:t xml:space="preserve"> </w:t>
      </w:r>
      <w:r w:rsidRPr="00813651">
        <w:rPr>
          <w:rFonts w:eastAsia="Calibri" w:cstheme="minorHAnsi"/>
          <w:color w:val="000000"/>
        </w:rPr>
        <w:t>is responsible for</w:t>
      </w:r>
      <w:r w:rsidRPr="00C11834">
        <w:rPr>
          <w:rFonts w:eastAsia="Calibri" w:cstheme="minorHAnsi"/>
          <w:color w:val="000000"/>
        </w:rPr>
        <w:t xml:space="preserve"> </w:t>
      </w:r>
      <w:r w:rsidR="00EC047F" w:rsidRPr="00C11834">
        <w:rPr>
          <w:rFonts w:eastAsia="Calibri" w:cstheme="minorHAnsi"/>
          <w:color w:val="000000"/>
        </w:rPr>
        <w:t xml:space="preserve">ensuring Federal Pell Grants and all other types of grant assistance for education and training services are utilized </w:t>
      </w:r>
      <w:r w:rsidR="00EC047F" w:rsidRPr="00C11834">
        <w:rPr>
          <w:rFonts w:eastAsia="Calibri" w:cstheme="minorHAnsi"/>
          <w:color w:val="000000"/>
          <w:u w:val="single"/>
        </w:rPr>
        <w:t>prior to</w:t>
      </w:r>
      <w:r w:rsidR="00EC047F" w:rsidRPr="00C11834">
        <w:rPr>
          <w:rFonts w:eastAsia="Calibri" w:cstheme="minorHAnsi"/>
          <w:b/>
          <w:color w:val="000000"/>
        </w:rPr>
        <w:t xml:space="preserve"> </w:t>
      </w:r>
      <w:r w:rsidR="00EC047F" w:rsidRPr="00C11834">
        <w:rPr>
          <w:rFonts w:eastAsia="Calibri" w:cstheme="minorHAnsi"/>
          <w:color w:val="000000"/>
        </w:rPr>
        <w:t xml:space="preserve">WIOA Adult and DLW funds. </w:t>
      </w:r>
      <w:r w:rsidR="00EC047F" w:rsidRPr="00C11834">
        <w:rPr>
          <w:rFonts w:cstheme="minorHAnsi"/>
          <w:color w:val="000000"/>
        </w:rPr>
        <w:t xml:space="preserve">WIOA funds utilized prior to </w:t>
      </w:r>
      <w:r w:rsidR="009D660A" w:rsidRPr="00C11834">
        <w:rPr>
          <w:rFonts w:cstheme="minorHAnsi"/>
          <w:color w:val="000000"/>
        </w:rPr>
        <w:t xml:space="preserve">use of </w:t>
      </w:r>
      <w:r w:rsidR="00EC047F" w:rsidRPr="00C11834">
        <w:rPr>
          <w:rFonts w:cstheme="minorHAnsi"/>
          <w:color w:val="000000"/>
        </w:rPr>
        <w:t>Pell or other grant assistance intended for education and/or training will be determined disallowed costs.</w:t>
      </w:r>
    </w:p>
    <w:p w14:paraId="484CC163" w14:textId="7710AE08" w:rsidR="00336091" w:rsidRPr="00C11834" w:rsidRDefault="00EC047F" w:rsidP="00942D4B">
      <w:pPr>
        <w:autoSpaceDE w:val="0"/>
        <w:autoSpaceDN w:val="0"/>
        <w:adjustRightInd w:val="0"/>
        <w:ind w:left="360"/>
        <w:jc w:val="both"/>
        <w:rPr>
          <w:rFonts w:cstheme="minorHAnsi"/>
          <w:color w:val="000000"/>
        </w:rPr>
      </w:pPr>
      <w:r w:rsidRPr="00C11834">
        <w:rPr>
          <w:rFonts w:cstheme="minorHAnsi"/>
          <w:color w:val="000000"/>
        </w:rPr>
        <w:t>Please note</w:t>
      </w:r>
      <w:r w:rsidR="00745596">
        <w:rPr>
          <w:rFonts w:cstheme="minorHAnsi"/>
          <w:color w:val="000000"/>
        </w:rPr>
        <w:t>,</w:t>
      </w:r>
      <w:r w:rsidRPr="00C11834">
        <w:rPr>
          <w:rFonts w:cstheme="minorHAnsi"/>
          <w:color w:val="000000"/>
        </w:rPr>
        <w:t xml:space="preserve"> WIOA funds</w:t>
      </w:r>
      <w:r w:rsidR="00745596">
        <w:rPr>
          <w:rFonts w:cstheme="minorHAnsi"/>
          <w:color w:val="000000"/>
        </w:rPr>
        <w:t xml:space="preserve"> are considered </w:t>
      </w:r>
      <w:r w:rsidRPr="00C11834">
        <w:rPr>
          <w:rFonts w:cstheme="minorHAnsi"/>
          <w:color w:val="000000"/>
        </w:rPr>
        <w:t>allow</w:t>
      </w:r>
      <w:r w:rsidR="00745596">
        <w:rPr>
          <w:rFonts w:cstheme="minorHAnsi"/>
          <w:color w:val="000000"/>
        </w:rPr>
        <w:t>able for the cost</w:t>
      </w:r>
      <w:r w:rsidRPr="00C11834">
        <w:rPr>
          <w:rFonts w:cstheme="minorHAnsi"/>
          <w:color w:val="000000"/>
        </w:rPr>
        <w:t xml:space="preserve"> of training for individuals who have a Federal Student Loan in default status.</w:t>
      </w:r>
      <w:r w:rsidR="004B3566">
        <w:rPr>
          <w:rFonts w:cstheme="minorHAnsi"/>
          <w:color w:val="000000"/>
        </w:rPr>
        <w:t xml:space="preserve"> The </w:t>
      </w:r>
      <w:r w:rsidR="00867022">
        <w:rPr>
          <w:rFonts w:cstheme="minorHAnsi"/>
          <w:color w:val="000000"/>
        </w:rPr>
        <w:t xml:space="preserve">WIOA service provider </w:t>
      </w:r>
      <w:r w:rsidRPr="00C11834">
        <w:rPr>
          <w:rFonts w:cstheme="minorHAnsi"/>
          <w:color w:val="000000"/>
        </w:rPr>
        <w:t xml:space="preserve">staff must </w:t>
      </w:r>
      <w:r w:rsidR="009D660A" w:rsidRPr="00C11834">
        <w:rPr>
          <w:rFonts w:cstheme="minorHAnsi"/>
          <w:color w:val="000000"/>
        </w:rPr>
        <w:t>provide information</w:t>
      </w:r>
      <w:r w:rsidRPr="00C11834">
        <w:rPr>
          <w:rFonts w:cstheme="minorHAnsi"/>
          <w:color w:val="000000"/>
        </w:rPr>
        <w:t xml:space="preserve"> </w:t>
      </w:r>
      <w:r w:rsidR="009D660A" w:rsidRPr="00C11834">
        <w:rPr>
          <w:rFonts w:cstheme="minorHAnsi"/>
          <w:color w:val="000000"/>
        </w:rPr>
        <w:t>to individuals in default of student loan</w:t>
      </w:r>
      <w:r w:rsidR="005F5E36">
        <w:rPr>
          <w:rFonts w:cstheme="minorHAnsi"/>
          <w:color w:val="000000"/>
        </w:rPr>
        <w:t>s by providing resources and information for</w:t>
      </w:r>
      <w:r w:rsidRPr="00C11834">
        <w:rPr>
          <w:rFonts w:cstheme="minorHAnsi"/>
          <w:color w:val="000000"/>
        </w:rPr>
        <w:t xml:space="preserve"> how to </w:t>
      </w:r>
      <w:r w:rsidR="00092E15" w:rsidRPr="00C11834">
        <w:rPr>
          <w:rFonts w:cstheme="minorHAnsi"/>
          <w:color w:val="000000"/>
        </w:rPr>
        <w:t>get out of</w:t>
      </w:r>
      <w:r w:rsidRPr="00C11834">
        <w:rPr>
          <w:rFonts w:cstheme="minorHAnsi"/>
          <w:color w:val="000000"/>
        </w:rPr>
        <w:t xml:space="preserve"> default status</w:t>
      </w:r>
      <w:r w:rsidR="00171F76">
        <w:rPr>
          <w:rFonts w:cstheme="minorHAnsi"/>
          <w:color w:val="000000"/>
        </w:rPr>
        <w:t xml:space="preserve"> and the information provided must be documented in a program note</w:t>
      </w:r>
      <w:r w:rsidR="001418BB">
        <w:rPr>
          <w:rFonts w:cstheme="minorHAnsi"/>
          <w:color w:val="000000"/>
        </w:rPr>
        <w:t>.</w:t>
      </w:r>
      <w:r w:rsidR="00AF2B38">
        <w:rPr>
          <w:rFonts w:cstheme="minorHAnsi"/>
          <w:color w:val="000000"/>
        </w:rPr>
        <w:t xml:space="preserve"> (See</w:t>
      </w:r>
      <w:r w:rsidR="001418BB">
        <w:rPr>
          <w:rFonts w:cstheme="minorHAnsi"/>
          <w:color w:val="000000"/>
        </w:rPr>
        <w:t xml:space="preserve"> OOWD</w:t>
      </w:r>
      <w:r w:rsidR="00AF2B38">
        <w:rPr>
          <w:rFonts w:cstheme="minorHAnsi"/>
          <w:color w:val="000000"/>
        </w:rPr>
        <w:t xml:space="preserve"> Memorandum </w:t>
      </w:r>
      <w:r w:rsidR="00D86ED3">
        <w:rPr>
          <w:rFonts w:cstheme="minorHAnsi"/>
          <w:color w:val="000000"/>
        </w:rPr>
        <w:t xml:space="preserve">guidance at </w:t>
      </w:r>
      <w:r w:rsidR="00867022" w:rsidRPr="008974FE">
        <w:rPr>
          <w:rFonts w:cstheme="minorHAnsi"/>
          <w:color w:val="0070C0"/>
          <w:u w:val="single"/>
        </w:rPr>
        <w:t>https://oklahomaworks.gov/wp-content/uploads/2019/06/Memo-M-06-2019-Student-Loan-Default-and-WIOA-Eligibility.pdf</w:t>
      </w:r>
      <w:r w:rsidR="00867022">
        <w:rPr>
          <w:rFonts w:cstheme="minorHAnsi"/>
          <w:color w:val="000000"/>
        </w:rPr>
        <w:t>)</w:t>
      </w:r>
    </w:p>
    <w:p w14:paraId="32FCAE05" w14:textId="58FEB8A7" w:rsidR="00EC047F" w:rsidRPr="008974FE" w:rsidRDefault="008974FE" w:rsidP="00942D4B">
      <w:pPr>
        <w:pStyle w:val="Heading2"/>
        <w:numPr>
          <w:ilvl w:val="0"/>
          <w:numId w:val="0"/>
        </w:numPr>
        <w:jc w:val="both"/>
      </w:pPr>
      <w:r>
        <w:t>6.2</w:t>
      </w:r>
      <w:r>
        <w:tab/>
      </w:r>
      <w:r w:rsidR="00336091" w:rsidRPr="008974FE">
        <w:t>Individual Training Accounts (ITAs)</w:t>
      </w:r>
      <w:r w:rsidR="00EC047F" w:rsidRPr="008974FE">
        <w:t xml:space="preserve"> </w:t>
      </w:r>
    </w:p>
    <w:p w14:paraId="3E38CCA3" w14:textId="70EE8C14" w:rsidR="00537016" w:rsidRDefault="00B558E1" w:rsidP="00942D4B">
      <w:pPr>
        <w:autoSpaceDE w:val="0"/>
        <w:autoSpaceDN w:val="0"/>
        <w:adjustRightInd w:val="0"/>
        <w:spacing w:after="0"/>
        <w:ind w:left="720"/>
        <w:jc w:val="both"/>
        <w:rPr>
          <w:rFonts w:eastAsia="Calibri" w:cstheme="minorHAnsi"/>
          <w:color w:val="000000"/>
        </w:rPr>
      </w:pPr>
      <w:r w:rsidRPr="00C11834">
        <w:rPr>
          <w:rFonts w:eastAsia="Calibri" w:cstheme="minorHAnsi"/>
          <w:color w:val="000000"/>
        </w:rPr>
        <w:t xml:space="preserve">ITA’s </w:t>
      </w:r>
      <w:r w:rsidR="00EC047F" w:rsidRPr="00C11834">
        <w:rPr>
          <w:rFonts w:eastAsia="Calibri" w:cstheme="minorHAnsi"/>
          <w:color w:val="000000"/>
        </w:rPr>
        <w:t>are the primary method to be used for procuring training services under WIOA.  An ITA is a payment agreement with an eligible training provider (ETP), established on behalf of an Adult or DLW program participant.  Training services must be linked to in-demand occupations and must be provided in a manner that maximizes the individual’s choice in the selection of a training provider.  To accomplish this,</w:t>
      </w:r>
      <w:r w:rsidRPr="00C11834">
        <w:rPr>
          <w:rFonts w:eastAsia="Calibri" w:cstheme="minorHAnsi"/>
          <w:color w:val="000000"/>
        </w:rPr>
        <w:t xml:space="preserve"> the</w:t>
      </w:r>
      <w:r w:rsidR="00EC047F" w:rsidRPr="00C11834">
        <w:rPr>
          <w:rFonts w:eastAsia="Calibri" w:cstheme="minorHAnsi"/>
          <w:color w:val="000000"/>
        </w:rPr>
        <w:t xml:space="preserve"> </w:t>
      </w:r>
      <w:r w:rsidR="0014111E">
        <w:rPr>
          <w:rFonts w:eastAsia="Calibri" w:cstheme="minorHAnsi"/>
          <w:color w:val="000000"/>
        </w:rPr>
        <w:t>NE</w:t>
      </w:r>
      <w:r w:rsidR="00EC047F" w:rsidRPr="00C11834">
        <w:rPr>
          <w:rFonts w:eastAsia="Calibri" w:cstheme="minorHAnsi"/>
          <w:color w:val="000000"/>
        </w:rPr>
        <w:t xml:space="preserve">WDB must make available an Eligible Training Provider List (ETPL) as described in current guidance at </w:t>
      </w:r>
      <w:hyperlink r:id="rId24" w:history="1">
        <w:r w:rsidR="00EC047F" w:rsidRPr="00C11834">
          <w:rPr>
            <w:rStyle w:val="Hyperlink"/>
            <w:rFonts w:eastAsia="Calibri" w:cstheme="minorHAnsi"/>
          </w:rPr>
          <w:t>https://oklahomaworks.gov/local-workforce-boards/wioa-policy-center/</w:t>
        </w:r>
      </w:hyperlink>
      <w:r w:rsidR="00EC047F" w:rsidRPr="00C11834">
        <w:rPr>
          <w:rFonts w:eastAsia="Calibri" w:cstheme="minorHAnsi"/>
          <w:color w:val="000000"/>
        </w:rPr>
        <w:t xml:space="preserve">.  </w:t>
      </w:r>
    </w:p>
    <w:p w14:paraId="0A80D913" w14:textId="77777777" w:rsidR="004B3566" w:rsidRDefault="004B3566" w:rsidP="00942D4B">
      <w:pPr>
        <w:autoSpaceDE w:val="0"/>
        <w:autoSpaceDN w:val="0"/>
        <w:adjustRightInd w:val="0"/>
        <w:spacing w:after="0"/>
        <w:ind w:left="360"/>
        <w:jc w:val="both"/>
        <w:rPr>
          <w:rFonts w:eastAsia="Calibri" w:cstheme="minorHAnsi"/>
          <w:color w:val="000000"/>
        </w:rPr>
      </w:pPr>
    </w:p>
    <w:p w14:paraId="6973C515" w14:textId="2450580F" w:rsidR="00EC047F" w:rsidRPr="006173CD" w:rsidRDefault="00537016" w:rsidP="00942D4B">
      <w:pPr>
        <w:autoSpaceDE w:val="0"/>
        <w:autoSpaceDN w:val="0"/>
        <w:adjustRightInd w:val="0"/>
        <w:ind w:left="720"/>
        <w:jc w:val="both"/>
        <w:rPr>
          <w:rFonts w:eastAsia="Calibri" w:cstheme="minorHAnsi"/>
          <w:color w:val="000000"/>
        </w:rPr>
      </w:pPr>
      <w:r>
        <w:rPr>
          <w:rFonts w:eastAsia="Calibri" w:cstheme="minorHAnsi"/>
          <w:color w:val="000000"/>
        </w:rPr>
        <w:t xml:space="preserve">Program participants determined eligible for training services, </w:t>
      </w:r>
      <w:r w:rsidR="00CA7D8C">
        <w:rPr>
          <w:rFonts w:eastAsia="Calibri" w:cstheme="minorHAnsi"/>
          <w:color w:val="000000"/>
        </w:rPr>
        <w:t xml:space="preserve">must </w:t>
      </w:r>
      <w:r>
        <w:rPr>
          <w:rFonts w:eastAsia="Calibri" w:cstheme="minorHAnsi"/>
          <w:color w:val="000000"/>
        </w:rPr>
        <w:t xml:space="preserve">consult with a WIOA career planner regarding ETP </w:t>
      </w:r>
      <w:r w:rsidR="00EC047F" w:rsidRPr="00C11834">
        <w:rPr>
          <w:rFonts w:eastAsia="Calibri" w:cstheme="minorHAnsi"/>
          <w:color w:val="000000"/>
        </w:rPr>
        <w:t xml:space="preserve">program quality and performance information, </w:t>
      </w:r>
      <w:r>
        <w:rPr>
          <w:rFonts w:eastAsia="Calibri" w:cstheme="minorHAnsi"/>
          <w:color w:val="000000"/>
        </w:rPr>
        <w:t xml:space="preserve">to ensure the individual is </w:t>
      </w:r>
      <w:r w:rsidR="00EC047F" w:rsidRPr="00C11834">
        <w:rPr>
          <w:rFonts w:eastAsia="Calibri" w:cstheme="minorHAnsi"/>
          <w:color w:val="000000"/>
        </w:rPr>
        <w:t xml:space="preserve">able to make an informed choice when selecting a training provider and program. </w:t>
      </w:r>
      <w:r w:rsidR="00FA4FB2">
        <w:rPr>
          <w:rFonts w:eastAsia="Calibri" w:cstheme="minorHAnsi"/>
          <w:color w:val="000000"/>
        </w:rPr>
        <w:t xml:space="preserve">Once an individual has </w:t>
      </w:r>
      <w:r>
        <w:rPr>
          <w:rFonts w:eastAsia="Calibri" w:cstheme="minorHAnsi"/>
          <w:color w:val="000000"/>
        </w:rPr>
        <w:t xml:space="preserve">selected </w:t>
      </w:r>
      <w:r w:rsidR="00CA7D8C">
        <w:rPr>
          <w:rFonts w:eastAsia="Calibri" w:cstheme="minorHAnsi"/>
          <w:color w:val="000000"/>
        </w:rPr>
        <w:t>an ETP from the ETPL</w:t>
      </w:r>
      <w:r w:rsidR="00FA4FB2">
        <w:rPr>
          <w:rFonts w:eastAsia="Calibri" w:cstheme="minorHAnsi"/>
          <w:color w:val="000000"/>
        </w:rPr>
        <w:t>,</w:t>
      </w:r>
      <w:r w:rsidR="00CA7D8C">
        <w:rPr>
          <w:rFonts w:eastAsia="Calibri" w:cstheme="minorHAnsi"/>
          <w:color w:val="000000"/>
        </w:rPr>
        <w:t xml:space="preserve"> </w:t>
      </w:r>
      <w:r w:rsidR="00CA7D8C" w:rsidRPr="006173CD">
        <w:rPr>
          <w:rFonts w:eastAsia="Calibri" w:cstheme="minorHAnsi"/>
          <w:color w:val="000000"/>
        </w:rPr>
        <w:t xml:space="preserve">in </w:t>
      </w:r>
      <w:r w:rsidR="00CA7D8C" w:rsidRPr="005268F8">
        <w:rPr>
          <w:rFonts w:eastAsia="Calibri" w:cstheme="minorHAnsi"/>
          <w:color w:val="000000"/>
        </w:rPr>
        <w:t xml:space="preserve">consultation with career </w:t>
      </w:r>
      <w:r w:rsidR="00813651" w:rsidRPr="005268F8">
        <w:rPr>
          <w:rFonts w:eastAsia="Calibri" w:cstheme="minorHAnsi"/>
          <w:color w:val="000000"/>
        </w:rPr>
        <w:t>manager</w:t>
      </w:r>
      <w:r w:rsidR="00CA7D8C" w:rsidRPr="005268F8">
        <w:rPr>
          <w:rFonts w:eastAsia="Calibri" w:cstheme="minorHAnsi"/>
          <w:color w:val="000000"/>
        </w:rPr>
        <w:t xml:space="preserve">/appropriate </w:t>
      </w:r>
      <w:r w:rsidR="00867022">
        <w:rPr>
          <w:rFonts w:eastAsia="Calibri" w:cstheme="minorHAnsi"/>
          <w:color w:val="000000"/>
        </w:rPr>
        <w:t>WIOA service provider</w:t>
      </w:r>
      <w:r w:rsidR="00CA7D8C" w:rsidRPr="005268F8">
        <w:rPr>
          <w:rFonts w:eastAsia="Calibri" w:cstheme="minorHAnsi"/>
          <w:color w:val="000000"/>
        </w:rPr>
        <w:t xml:space="preserve"> staff,</w:t>
      </w:r>
      <w:r w:rsidR="00CA7D8C" w:rsidRPr="006173CD">
        <w:rPr>
          <w:rFonts w:eastAsia="Calibri" w:cstheme="minorHAnsi"/>
          <w:color w:val="000000"/>
        </w:rPr>
        <w:t xml:space="preserve"> a referral is made to the training provider and arrangements for </w:t>
      </w:r>
      <w:r w:rsidR="00CA7D8C" w:rsidRPr="006173CD">
        <w:rPr>
          <w:rFonts w:eastAsia="Calibri" w:cstheme="minorHAnsi"/>
          <w:color w:val="000000"/>
        </w:rPr>
        <w:lastRenderedPageBreak/>
        <w:t>payment of the training services are made through an ITA.</w:t>
      </w:r>
      <w:r w:rsidR="00EC047F" w:rsidRPr="006173CD">
        <w:rPr>
          <w:rFonts w:eastAsia="Calibri" w:cstheme="minorHAnsi"/>
          <w:color w:val="000000"/>
        </w:rPr>
        <w:t xml:space="preserve"> </w:t>
      </w:r>
      <w:r w:rsidR="00B558E1" w:rsidRPr="006173CD">
        <w:rPr>
          <w:rFonts w:eastAsia="Calibri" w:cstheme="minorHAnsi"/>
          <w:color w:val="000000"/>
        </w:rPr>
        <w:t>The</w:t>
      </w:r>
      <w:r w:rsidR="00EC047F" w:rsidRPr="006173CD">
        <w:rPr>
          <w:rFonts w:eastAsia="Calibri" w:cstheme="minorHAnsi"/>
          <w:color w:val="000000"/>
        </w:rPr>
        <w:t xml:space="preserve"> </w:t>
      </w:r>
      <w:r w:rsidR="0014111E" w:rsidRPr="005268F8">
        <w:rPr>
          <w:rFonts w:eastAsia="Calibri" w:cstheme="minorHAnsi"/>
          <w:color w:val="000000"/>
        </w:rPr>
        <w:t>NEWDB</w:t>
      </w:r>
      <w:r w:rsidR="00FA4FB2" w:rsidRPr="005268F8">
        <w:rPr>
          <w:rFonts w:eastAsia="Calibri" w:cstheme="minorHAnsi"/>
          <w:color w:val="000000"/>
        </w:rPr>
        <w:t xml:space="preserve"> </w:t>
      </w:r>
      <w:r w:rsidR="00EC047F" w:rsidRPr="005268F8">
        <w:rPr>
          <w:rFonts w:eastAsia="Calibri" w:cstheme="minorHAnsi"/>
          <w:color w:val="000000"/>
        </w:rPr>
        <w:t>service provider</w:t>
      </w:r>
      <w:r w:rsidR="00EC047F" w:rsidRPr="006173CD">
        <w:rPr>
          <w:rFonts w:eastAsia="Calibri" w:cstheme="minorHAnsi"/>
          <w:color w:val="000000"/>
        </w:rPr>
        <w:t xml:space="preserve"> must</w:t>
      </w:r>
      <w:r w:rsidR="00EC047F" w:rsidRPr="006173CD">
        <w:rPr>
          <w:rFonts w:eastAsia="Calibri" w:cstheme="minorHAnsi"/>
          <w:color w:val="000000"/>
          <w:u w:val="single"/>
        </w:rPr>
        <w:t>, to the extent possible,</w:t>
      </w:r>
      <w:r w:rsidR="00EC047F" w:rsidRPr="006173CD">
        <w:rPr>
          <w:rFonts w:eastAsia="Calibri" w:cstheme="minorHAnsi"/>
          <w:color w:val="000000"/>
        </w:rPr>
        <w:t xml:space="preserve"> coordinate funding for ITAs with funding from other Federal, State, local or private job training programs or sources to assist an individual in obtaining training services.</w:t>
      </w:r>
    </w:p>
    <w:p w14:paraId="30DFF45A" w14:textId="378ADD26" w:rsidR="00AF0D76" w:rsidRPr="006C539D" w:rsidRDefault="00F152A5" w:rsidP="00942D4B">
      <w:pPr>
        <w:autoSpaceDE w:val="0"/>
        <w:autoSpaceDN w:val="0"/>
        <w:adjustRightInd w:val="0"/>
        <w:ind w:left="720"/>
        <w:jc w:val="both"/>
        <w:rPr>
          <w:rFonts w:cstheme="minorHAnsi"/>
          <w:strike/>
        </w:rPr>
      </w:pPr>
      <w:r w:rsidRPr="006C539D">
        <w:rPr>
          <w:rFonts w:cstheme="minorHAnsi"/>
          <w:color w:val="000000"/>
        </w:rPr>
        <w:t>The NEWDB service provider</w:t>
      </w:r>
      <w:r w:rsidR="00EC047F" w:rsidRPr="006C539D">
        <w:rPr>
          <w:rFonts w:cstheme="minorHAnsi"/>
          <w:color w:val="000000"/>
        </w:rPr>
        <w:t xml:space="preserve"> may take into account the full cost of participating in training services, including supportive services and other appropriate costs related to attendance in a training program, as defined by </w:t>
      </w:r>
      <w:r w:rsidR="00A44BBF">
        <w:rPr>
          <w:rFonts w:cstheme="minorHAnsi"/>
          <w:color w:val="000000"/>
        </w:rPr>
        <w:t>NEWDB</w:t>
      </w:r>
      <w:r w:rsidR="00EC047F" w:rsidRPr="006C539D">
        <w:rPr>
          <w:rFonts w:cstheme="minorHAnsi"/>
          <w:color w:val="000000"/>
        </w:rPr>
        <w:t xml:space="preserve"> policy, when determining an eligible individual’s “unmet need”</w:t>
      </w:r>
      <w:r w:rsidR="00AF0D76" w:rsidRPr="006C539D">
        <w:rPr>
          <w:rFonts w:cstheme="minorHAnsi"/>
          <w:color w:val="000000"/>
        </w:rPr>
        <w:t xml:space="preserve"> (See NEWDB ITA Policy</w:t>
      </w:r>
      <w:r w:rsidR="00F26B0A">
        <w:rPr>
          <w:rFonts w:cstheme="minorHAnsi"/>
          <w:color w:val="000000"/>
        </w:rPr>
        <w:t xml:space="preserve"> for full description)</w:t>
      </w:r>
      <w:r w:rsidR="001D2E98">
        <w:rPr>
          <w:rFonts w:cstheme="minorHAnsi"/>
          <w:color w:val="000000"/>
        </w:rPr>
        <w:t>.</w:t>
      </w:r>
      <w:r w:rsidR="00AF0D76" w:rsidRPr="006C539D">
        <w:rPr>
          <w:rFonts w:cstheme="minorHAnsi"/>
          <w:color w:val="000000"/>
        </w:rPr>
        <w:t xml:space="preserve"> </w:t>
      </w:r>
    </w:p>
    <w:p w14:paraId="23BFAD9B" w14:textId="51CFEDBB" w:rsidR="00EC047F" w:rsidRPr="00C11834" w:rsidRDefault="00EC047F" w:rsidP="00942D4B">
      <w:pPr>
        <w:spacing w:after="0"/>
        <w:ind w:left="360" w:firstLine="360"/>
        <w:jc w:val="both"/>
        <w:rPr>
          <w:rFonts w:eastAsia="Calibri" w:cstheme="minorHAnsi"/>
          <w:color w:val="000000"/>
        </w:rPr>
      </w:pPr>
      <w:r w:rsidRPr="00C11834">
        <w:rPr>
          <w:rFonts w:eastAsia="Calibri" w:cstheme="minorHAnsi"/>
          <w:color w:val="000000"/>
        </w:rPr>
        <w:t xml:space="preserve"> </w:t>
      </w:r>
    </w:p>
    <w:p w14:paraId="07402E1D" w14:textId="428089CC" w:rsidR="005C38C6" w:rsidRPr="00AF0D76" w:rsidRDefault="008974FE" w:rsidP="00942D4B">
      <w:pPr>
        <w:pStyle w:val="Heading2"/>
        <w:numPr>
          <w:ilvl w:val="0"/>
          <w:numId w:val="0"/>
        </w:numPr>
        <w:jc w:val="both"/>
        <w:rPr>
          <w:rFonts w:eastAsia="Calibri"/>
        </w:rPr>
      </w:pPr>
      <w:r>
        <w:rPr>
          <w:rFonts w:eastAsia="Calibri"/>
        </w:rPr>
        <w:t>6.3</w:t>
      </w:r>
      <w:r>
        <w:rPr>
          <w:rFonts w:eastAsia="Calibri"/>
        </w:rPr>
        <w:tab/>
      </w:r>
      <w:r w:rsidR="00D146A0" w:rsidRPr="00AF0D76">
        <w:rPr>
          <w:rFonts w:eastAsia="Calibri"/>
        </w:rPr>
        <w:t>Training Contracts</w:t>
      </w:r>
    </w:p>
    <w:p w14:paraId="7735B54E" w14:textId="201BEFFD" w:rsidR="00EC047F" w:rsidRPr="00C11834" w:rsidRDefault="00EC047F" w:rsidP="00942D4B">
      <w:pPr>
        <w:ind w:left="720"/>
        <w:jc w:val="both"/>
      </w:pPr>
      <w:r w:rsidRPr="00C11834">
        <w:t xml:space="preserve">Although ITAs are the primary method to be used for procuring training services, in certain circumstances a contract for training services may be developed instead of an ITA.  Contracts for services may be used instead of ITAs when at least one of the circumstances below applies, and if the </w:t>
      </w:r>
      <w:r w:rsidR="00A44BBF">
        <w:t>NEWDB</w:t>
      </w:r>
      <w:r w:rsidRPr="00C11834">
        <w:t xml:space="preserve"> has fulfilled the consumer choice requirements </w:t>
      </w:r>
      <w:r w:rsidRPr="006173CD">
        <w:t xml:space="preserve">of </w:t>
      </w:r>
      <w:r w:rsidRPr="005268F8">
        <w:t xml:space="preserve">20 CFR </w:t>
      </w:r>
      <w:r w:rsidRPr="005268F8">
        <w:rPr>
          <w:bCs/>
        </w:rPr>
        <w:t xml:space="preserve">§ </w:t>
      </w:r>
      <w:r w:rsidRPr="005268F8">
        <w:t>680.340.</w:t>
      </w:r>
      <w:r w:rsidRPr="006173CD">
        <w:t xml:space="preserve">  The</w:t>
      </w:r>
      <w:r w:rsidRPr="00C11834">
        <w:t xml:space="preserve"> contract exceptions to an ITA are:</w:t>
      </w:r>
    </w:p>
    <w:p w14:paraId="17A827BD" w14:textId="77777777" w:rsidR="00A05BFD" w:rsidRPr="00AF0D76" w:rsidRDefault="00EC047F" w:rsidP="00942D4B">
      <w:pPr>
        <w:pStyle w:val="ListParagraph"/>
        <w:numPr>
          <w:ilvl w:val="0"/>
          <w:numId w:val="35"/>
        </w:numPr>
        <w:jc w:val="both"/>
      </w:pPr>
      <w:r w:rsidRPr="00AF0D76">
        <w:t>When the services provided are on-the-job training (OJT), customized training, incumbent worker training or transitional jobs;</w:t>
      </w:r>
    </w:p>
    <w:p w14:paraId="65CC667C" w14:textId="03CE9E61" w:rsidR="00EC047F" w:rsidRPr="00AF0D76" w:rsidRDefault="00EC047F" w:rsidP="00942D4B">
      <w:pPr>
        <w:pStyle w:val="ListParagraph"/>
        <w:numPr>
          <w:ilvl w:val="0"/>
          <w:numId w:val="35"/>
        </w:numPr>
        <w:jc w:val="both"/>
      </w:pPr>
      <w:r w:rsidRPr="00AF0D76">
        <w:t xml:space="preserve">When the </w:t>
      </w:r>
      <w:r w:rsidR="00A05BFD" w:rsidRPr="00AF0D76">
        <w:t>NE</w:t>
      </w:r>
      <w:r w:rsidRPr="00AF0D76">
        <w:t xml:space="preserve">WDB determines there are an insufficient number of eligible training providers in the </w:t>
      </w:r>
      <w:r w:rsidR="00A44BBF">
        <w:t xml:space="preserve">NEWDA </w:t>
      </w:r>
      <w:r w:rsidRPr="00AF0D76">
        <w:t xml:space="preserve">to accomplish the purpose of a system of ITAs.  The determination process must include a public comment period for interested providers of at least 30 days, and be described in the </w:t>
      </w:r>
      <w:r w:rsidR="00A44BBF">
        <w:t xml:space="preserve">NEWDB </w:t>
      </w:r>
      <w:r w:rsidRPr="00AF0D76">
        <w:t>Local Plan</w:t>
      </w:r>
      <w:r w:rsidR="00A05BFD" w:rsidRPr="00AF0D76">
        <w:t>;</w:t>
      </w:r>
    </w:p>
    <w:p w14:paraId="6D848DBE" w14:textId="3BA3AE05" w:rsidR="00EC047F" w:rsidRPr="00AF0D76" w:rsidRDefault="00EC047F" w:rsidP="00942D4B">
      <w:pPr>
        <w:pStyle w:val="ListParagraph"/>
        <w:numPr>
          <w:ilvl w:val="0"/>
          <w:numId w:val="35"/>
        </w:numPr>
        <w:jc w:val="both"/>
      </w:pPr>
      <w:r w:rsidRPr="00AF0D76">
        <w:t xml:space="preserve">When the </w:t>
      </w:r>
      <w:r w:rsidR="00A05BFD" w:rsidRPr="00AF0D76">
        <w:t>NE</w:t>
      </w:r>
      <w:r w:rsidRPr="00AF0D76">
        <w:t xml:space="preserve">WDB determines there is a training services program of demonstrated effectiveness offered in the area by a community-based organization or another private organization to serve individuals with barriers to employment.  The </w:t>
      </w:r>
      <w:r w:rsidR="00A05BFD" w:rsidRPr="00AF0D76">
        <w:t>NE</w:t>
      </w:r>
      <w:r w:rsidRPr="00AF0D76">
        <w:t xml:space="preserve">WDB must develop criteria to be used in determining demonstrated effectiveness, particularly as it applies to the individuals to be served and their particular barriers to employment.  The criteria may include: </w:t>
      </w:r>
    </w:p>
    <w:p w14:paraId="113EA50B" w14:textId="77777777" w:rsidR="00EC047F" w:rsidRPr="00AF0D76" w:rsidRDefault="00EC047F" w:rsidP="00942D4B">
      <w:pPr>
        <w:pStyle w:val="ListParagraph"/>
        <w:numPr>
          <w:ilvl w:val="0"/>
          <w:numId w:val="36"/>
        </w:numPr>
        <w:jc w:val="both"/>
      </w:pPr>
      <w:r w:rsidRPr="00AF0D76">
        <w:t>Financial stability of the organization;</w:t>
      </w:r>
    </w:p>
    <w:p w14:paraId="2B4E4394" w14:textId="77777777" w:rsidR="00EC047F" w:rsidRPr="00DD1893" w:rsidRDefault="00EC047F" w:rsidP="00942D4B">
      <w:pPr>
        <w:pStyle w:val="ListParagraph"/>
        <w:numPr>
          <w:ilvl w:val="0"/>
          <w:numId w:val="36"/>
        </w:numPr>
        <w:jc w:val="both"/>
      </w:pPr>
      <w:r w:rsidRPr="00DD1893">
        <w:t>Demonstrated performance in the delivery of services to individuals with barriers to employment through such means as:</w:t>
      </w:r>
    </w:p>
    <w:p w14:paraId="74836186" w14:textId="77777777" w:rsidR="00EC047F" w:rsidRPr="00DD1893" w:rsidRDefault="00EC047F" w:rsidP="00942D4B">
      <w:pPr>
        <w:pStyle w:val="ListParagraph"/>
        <w:numPr>
          <w:ilvl w:val="0"/>
          <w:numId w:val="37"/>
        </w:numPr>
        <w:jc w:val="both"/>
      </w:pPr>
      <w:r w:rsidRPr="00DD1893">
        <w:t xml:space="preserve">program completion rates; </w:t>
      </w:r>
    </w:p>
    <w:p w14:paraId="6F414CEF" w14:textId="77777777" w:rsidR="00EC047F" w:rsidRPr="00DD1893" w:rsidRDefault="00EC047F" w:rsidP="00942D4B">
      <w:pPr>
        <w:pStyle w:val="ListParagraph"/>
        <w:numPr>
          <w:ilvl w:val="0"/>
          <w:numId w:val="37"/>
        </w:numPr>
        <w:jc w:val="both"/>
      </w:pPr>
      <w:r w:rsidRPr="00DD1893">
        <w:t xml:space="preserve">attainment of skills, certificates or degrees the program is designed to provide; </w:t>
      </w:r>
    </w:p>
    <w:p w14:paraId="37316562" w14:textId="77777777" w:rsidR="00EC047F" w:rsidRPr="00DD1893" w:rsidRDefault="00EC047F" w:rsidP="00942D4B">
      <w:pPr>
        <w:pStyle w:val="ListParagraph"/>
        <w:numPr>
          <w:ilvl w:val="0"/>
          <w:numId w:val="37"/>
        </w:numPr>
        <w:jc w:val="both"/>
      </w:pPr>
      <w:r w:rsidRPr="00DD1893">
        <w:t xml:space="preserve">placement after training in unsubsidized employment; and </w:t>
      </w:r>
    </w:p>
    <w:p w14:paraId="7D0B447A" w14:textId="77777777" w:rsidR="00EC047F" w:rsidRPr="00DD1893" w:rsidRDefault="00EC047F" w:rsidP="00942D4B">
      <w:pPr>
        <w:pStyle w:val="ListParagraph"/>
        <w:numPr>
          <w:ilvl w:val="0"/>
          <w:numId w:val="37"/>
        </w:numPr>
        <w:jc w:val="both"/>
      </w:pPr>
      <w:r w:rsidRPr="00DD1893">
        <w:t>retention in employment; and</w:t>
      </w:r>
    </w:p>
    <w:p w14:paraId="344F0165" w14:textId="3ACE2591" w:rsidR="00EC047F" w:rsidRPr="00DD1893" w:rsidRDefault="00EC047F" w:rsidP="00942D4B">
      <w:pPr>
        <w:pStyle w:val="ListParagraph"/>
        <w:numPr>
          <w:ilvl w:val="0"/>
          <w:numId w:val="36"/>
        </w:numPr>
        <w:jc w:val="both"/>
      </w:pPr>
      <w:r w:rsidRPr="00DD1893">
        <w:t xml:space="preserve">How the specific program relates to the workforce development needs identified in the </w:t>
      </w:r>
      <w:r w:rsidR="00A44BBF">
        <w:t xml:space="preserve">NEWDB </w:t>
      </w:r>
      <w:r w:rsidRPr="00DD1893">
        <w:t>local plan;</w:t>
      </w:r>
    </w:p>
    <w:p w14:paraId="55F549F2" w14:textId="7D162599" w:rsidR="00EC047F" w:rsidRPr="00DD1893" w:rsidRDefault="00EC047F" w:rsidP="00942D4B">
      <w:pPr>
        <w:pStyle w:val="ListParagraph"/>
        <w:numPr>
          <w:ilvl w:val="0"/>
          <w:numId w:val="38"/>
        </w:numPr>
        <w:jc w:val="both"/>
      </w:pPr>
      <w:r w:rsidRPr="00DD1893">
        <w:t>When the</w:t>
      </w:r>
      <w:r w:rsidR="00A05BFD" w:rsidRPr="00DD1893">
        <w:t xml:space="preserve"> N</w:t>
      </w:r>
      <w:r w:rsidRPr="00DD1893">
        <w:t>WDB determines it would be appropriate to contract with an institution of higher education or other provider of training services to facilitate the training of multiple individuals in in-demand industry sectors or occupations, provided the contract does not limit consumer choice; and</w:t>
      </w:r>
    </w:p>
    <w:p w14:paraId="3E22A2FA" w14:textId="7C2A24B3" w:rsidR="00EC047F" w:rsidRPr="00DD1893" w:rsidRDefault="00EC047F" w:rsidP="00942D4B">
      <w:pPr>
        <w:pStyle w:val="ListParagraph"/>
        <w:numPr>
          <w:ilvl w:val="0"/>
          <w:numId w:val="38"/>
        </w:numPr>
        <w:jc w:val="both"/>
      </w:pPr>
      <w:r w:rsidRPr="00DD1893">
        <w:t xml:space="preserve">When the </w:t>
      </w:r>
      <w:r w:rsidR="00A05BFD" w:rsidRPr="00DD1893">
        <w:t>NE</w:t>
      </w:r>
      <w:r w:rsidRPr="00DD1893">
        <w:t xml:space="preserve">WDB is considering entering into a Pay-for-Performance contract and the </w:t>
      </w:r>
      <w:r w:rsidR="00A05BFD" w:rsidRPr="00DD1893">
        <w:t>NE</w:t>
      </w:r>
      <w:r w:rsidRPr="00DD1893">
        <w:t xml:space="preserve">WDB ensures the contract is consistent with 20 CFR </w:t>
      </w:r>
      <w:r w:rsidRPr="00DD1893">
        <w:rPr>
          <w:bCs/>
        </w:rPr>
        <w:t xml:space="preserve">§ </w:t>
      </w:r>
      <w:r w:rsidRPr="00DD1893">
        <w:t xml:space="preserve">683.500 and </w:t>
      </w:r>
      <w:r w:rsidRPr="00DD1893">
        <w:rPr>
          <w:bCs/>
        </w:rPr>
        <w:t xml:space="preserve">§ </w:t>
      </w:r>
      <w:r w:rsidRPr="00DD1893">
        <w:t xml:space="preserve">683.510. </w:t>
      </w:r>
    </w:p>
    <w:p w14:paraId="117401E1" w14:textId="77777777" w:rsidR="00A05BFD" w:rsidRDefault="00EC047F" w:rsidP="00942D4B">
      <w:pPr>
        <w:ind w:left="720"/>
        <w:jc w:val="both"/>
      </w:pPr>
      <w:r w:rsidRPr="00C11834">
        <w:lastRenderedPageBreak/>
        <w:t xml:space="preserve">In addition to the contract exceptions to an ITA, </w:t>
      </w:r>
      <w:r w:rsidR="005C38C6" w:rsidRPr="00C11834">
        <w:t>the</w:t>
      </w:r>
      <w:r w:rsidRPr="00C11834">
        <w:t xml:space="preserve"> </w:t>
      </w:r>
      <w:r w:rsidR="00A05BFD">
        <w:t>NE</w:t>
      </w:r>
      <w:r w:rsidRPr="00C11834">
        <w:t xml:space="preserve">WDB may determine that a combination of ITAs and contracts is an effective approach for placement into programs such as Registered Apprenticeship (RA) and other work-based training. </w:t>
      </w:r>
    </w:p>
    <w:p w14:paraId="174C9216" w14:textId="3F6D8C79" w:rsidR="00EC047F" w:rsidRPr="00C11834" w:rsidRDefault="00255E85" w:rsidP="00942D4B">
      <w:pPr>
        <w:pStyle w:val="Heading2"/>
        <w:numPr>
          <w:ilvl w:val="0"/>
          <w:numId w:val="0"/>
        </w:numPr>
        <w:jc w:val="both"/>
      </w:pPr>
      <w:bookmarkStart w:id="19" w:name="_Hlk528147448"/>
      <w:r>
        <w:t>6.4</w:t>
      </w:r>
      <w:r>
        <w:tab/>
      </w:r>
      <w:r w:rsidR="00EC047F" w:rsidRPr="00C11834">
        <w:t>Work-based Training</w:t>
      </w:r>
    </w:p>
    <w:p w14:paraId="6F8D1035" w14:textId="77777777" w:rsidR="00EC047F" w:rsidRPr="00C11834" w:rsidRDefault="00EC047F" w:rsidP="00942D4B">
      <w:pPr>
        <w:ind w:left="720"/>
        <w:jc w:val="both"/>
      </w:pPr>
      <w:r w:rsidRPr="00C11834">
        <w:t xml:space="preserve">WIOA allows for additional </w:t>
      </w:r>
      <w:bookmarkEnd w:id="19"/>
      <w:r w:rsidRPr="00C11834">
        <w:t xml:space="preserve">work-based training options and flexibilities for adults and dislocated workers.  Work-based training presents opportunities for fostering increased employer engagement, implementing sector strategies, and encouraging industry partnerships by allowing employers to train employees while continuing to be productive members of the workforce.  </w:t>
      </w:r>
    </w:p>
    <w:p w14:paraId="7182B2E6" w14:textId="26A703A7" w:rsidR="00142714" w:rsidRPr="00B04FCA" w:rsidRDefault="00255E85" w:rsidP="00942D4B">
      <w:pPr>
        <w:pStyle w:val="Heading2"/>
        <w:numPr>
          <w:ilvl w:val="0"/>
          <w:numId w:val="0"/>
        </w:numPr>
        <w:jc w:val="both"/>
      </w:pPr>
      <w:r>
        <w:t>6.5</w:t>
      </w:r>
      <w:r>
        <w:tab/>
      </w:r>
      <w:r w:rsidR="00EC047F" w:rsidRPr="00B04FCA">
        <w:t xml:space="preserve">Transitional Jobs </w:t>
      </w:r>
    </w:p>
    <w:p w14:paraId="38D7CE41" w14:textId="74704BC0" w:rsidR="00EC047F" w:rsidRPr="005268F8" w:rsidRDefault="00B04FCA" w:rsidP="00942D4B">
      <w:pPr>
        <w:autoSpaceDE w:val="0"/>
        <w:autoSpaceDN w:val="0"/>
        <w:adjustRightInd w:val="0"/>
        <w:spacing w:after="0"/>
        <w:ind w:left="720"/>
        <w:jc w:val="both"/>
        <w:rPr>
          <w:rFonts w:cstheme="minorHAnsi"/>
          <w:strike/>
        </w:rPr>
      </w:pPr>
      <w:r w:rsidRPr="006C539D">
        <w:rPr>
          <w:rFonts w:cstheme="minorHAnsi"/>
          <w:color w:val="000000"/>
        </w:rPr>
        <w:t xml:space="preserve">Transitional jobs </w:t>
      </w:r>
      <w:r w:rsidR="00EC047F" w:rsidRPr="006C539D">
        <w:rPr>
          <w:rFonts w:cstheme="minorHAnsi"/>
          <w:color w:val="000000"/>
        </w:rPr>
        <w:t xml:space="preserve">are time-limited, wage-paid work experiences that are only available for individuals with barriers to employment who are chronically unemployed or have an inconsistent work history, as determined by the </w:t>
      </w:r>
      <w:r w:rsidR="006A63F6" w:rsidRPr="006C539D">
        <w:rPr>
          <w:rFonts w:cstheme="minorHAnsi"/>
          <w:color w:val="000000"/>
        </w:rPr>
        <w:t>NE</w:t>
      </w:r>
      <w:r w:rsidR="00EC047F" w:rsidRPr="006C539D">
        <w:rPr>
          <w:rFonts w:cstheme="minorHAnsi"/>
          <w:color w:val="000000"/>
        </w:rPr>
        <w:t>WDB.</w:t>
      </w:r>
      <w:r w:rsidR="00EC047F" w:rsidRPr="00F23F3D">
        <w:rPr>
          <w:rFonts w:cstheme="minorHAnsi"/>
          <w:color w:val="000000"/>
        </w:rPr>
        <w:t xml:space="preserve">  Furthe</w:t>
      </w:r>
      <w:r w:rsidR="00EC047F" w:rsidRPr="00B04FCA">
        <w:rPr>
          <w:rFonts w:cstheme="minorHAnsi"/>
          <w:color w:val="000000"/>
        </w:rPr>
        <w:t xml:space="preserve">r, transitional jobs must include both comprehensive and supportive services.  </w:t>
      </w:r>
      <w:r w:rsidR="00EC047F" w:rsidRPr="00B04FCA">
        <w:rPr>
          <w:rFonts w:cstheme="minorHAnsi"/>
        </w:rPr>
        <w:t xml:space="preserve">Transitional jobs policy may be found at </w:t>
      </w:r>
      <w:hyperlink r:id="rId25" w:history="1">
        <w:r w:rsidR="00EC047F" w:rsidRPr="00B04FCA">
          <w:rPr>
            <w:rStyle w:val="Hyperlink"/>
            <w:rFonts w:cstheme="minorHAnsi"/>
          </w:rPr>
          <w:t>https://oklahomaworks.gov/local-workforce-boards/wioa-policy-center/</w:t>
        </w:r>
      </w:hyperlink>
      <w:r w:rsidR="00EC047F" w:rsidRPr="00B04FCA">
        <w:rPr>
          <w:rFonts w:cstheme="minorHAnsi"/>
        </w:rPr>
        <w:t xml:space="preserve">. </w:t>
      </w:r>
    </w:p>
    <w:p w14:paraId="0D8BCC0A" w14:textId="77777777" w:rsidR="00142714" w:rsidRPr="00142714" w:rsidRDefault="00142714" w:rsidP="00942D4B">
      <w:pPr>
        <w:pStyle w:val="ListParagraph"/>
        <w:autoSpaceDE w:val="0"/>
        <w:autoSpaceDN w:val="0"/>
        <w:adjustRightInd w:val="0"/>
        <w:jc w:val="both"/>
        <w:rPr>
          <w:rFonts w:cstheme="minorHAnsi"/>
          <w:color w:val="000000"/>
        </w:rPr>
      </w:pPr>
    </w:p>
    <w:p w14:paraId="64F46D09" w14:textId="12FC3149" w:rsidR="00B04FCA" w:rsidRDefault="00255E85" w:rsidP="00942D4B">
      <w:pPr>
        <w:pStyle w:val="Heading2"/>
        <w:numPr>
          <w:ilvl w:val="0"/>
          <w:numId w:val="0"/>
        </w:numPr>
        <w:jc w:val="both"/>
      </w:pPr>
      <w:r>
        <w:t>6.6</w:t>
      </w:r>
      <w:r>
        <w:tab/>
      </w:r>
      <w:r w:rsidR="00EC047F" w:rsidRPr="00B04FCA">
        <w:t xml:space="preserve">Registered Apprenticeship (RA) </w:t>
      </w:r>
    </w:p>
    <w:p w14:paraId="70D408E0" w14:textId="6AFF89BB" w:rsidR="00EC047F" w:rsidRPr="00B04FCA" w:rsidRDefault="00B04FCA" w:rsidP="00942D4B">
      <w:pPr>
        <w:ind w:left="720"/>
        <w:jc w:val="both"/>
        <w:rPr>
          <w:b/>
        </w:rPr>
      </w:pPr>
      <w:r>
        <w:t xml:space="preserve">Registered Apprenticeship </w:t>
      </w:r>
      <w:r w:rsidR="00EC047F" w:rsidRPr="00B04FCA">
        <w:t>is a potential source for training and employment services</w:t>
      </w:r>
      <w:r w:rsidR="00CF16C8">
        <w:t>. T</w:t>
      </w:r>
      <w:r w:rsidR="00FD2C21">
        <w:t xml:space="preserve">he </w:t>
      </w:r>
      <w:r w:rsidR="00A44BBF">
        <w:t>NEWDB promotes</w:t>
      </w:r>
      <w:r w:rsidR="00CF16C8">
        <w:t xml:space="preserve"> RA</w:t>
      </w:r>
      <w:r w:rsidR="00A44BBF" w:rsidRPr="00B04FCA" w:rsidDel="00A44BBF">
        <w:t xml:space="preserve"> </w:t>
      </w:r>
      <w:r w:rsidR="00EC047F" w:rsidRPr="00B04FCA">
        <w:t xml:space="preserve">use as a career pathway for individuals seeking employment, and as a job-driven strategy for employers and industries.  WIOA provides an opportunity for RA programs to be more directly connected to the public workforce system.  RA programs automatically qualify to be placed on the Eligible Training Provider List (ETPL), if they so choose, allowing ITAs to support WIOA eligible participants in RA programs, and more directly connect those programs to Oklahoma Works One-Stop Centers.  </w:t>
      </w:r>
    </w:p>
    <w:p w14:paraId="78EE02DD" w14:textId="47D2A666" w:rsidR="00EC047F" w:rsidRPr="00C11834" w:rsidRDefault="00B04FCA" w:rsidP="00942D4B">
      <w:pPr>
        <w:ind w:left="720"/>
        <w:jc w:val="both"/>
      </w:pPr>
      <w:r w:rsidRPr="005268F8">
        <w:t xml:space="preserve">The NEWDB, along with </w:t>
      </w:r>
      <w:r w:rsidR="00FD2C21">
        <w:t xml:space="preserve">the </w:t>
      </w:r>
      <w:r w:rsidR="00EC047F" w:rsidRPr="005268F8">
        <w:t xml:space="preserve">OOWD is committed to fully integrating RA programs as an employment and training solution for Oklahoma Works </w:t>
      </w:r>
      <w:r w:rsidR="00621D34">
        <w:t>AJC</w:t>
      </w:r>
      <w:r w:rsidR="00CF16C8">
        <w:t>.</w:t>
      </w:r>
      <w:r w:rsidR="00EC047F" w:rsidRPr="005268F8">
        <w:t xml:space="preserve">  </w:t>
      </w:r>
      <w:r w:rsidR="00FD2C21">
        <w:t xml:space="preserve">The </w:t>
      </w:r>
      <w:r w:rsidRPr="005268F8">
        <w:t>NEWDB will work with the service provider to maintain</w:t>
      </w:r>
      <w:r w:rsidRPr="00B157E1">
        <w:t xml:space="preserve"> </w:t>
      </w:r>
      <w:r w:rsidR="00EC047F" w:rsidRPr="005268F8">
        <w:t>maximum flexibility</w:t>
      </w:r>
      <w:r w:rsidR="00EC047F" w:rsidRPr="00B157E1">
        <w:t xml:space="preserve"> in</w:t>
      </w:r>
      <w:r w:rsidR="00EC047F" w:rsidRPr="00C11834">
        <w:t xml:space="preserve"> serving participants and supporting their placement in pre-apprenticeship training and RA programs, including making arrangements with RA programs to initiate applications to become an apprentice on behalf of participants.   </w:t>
      </w:r>
    </w:p>
    <w:p w14:paraId="791BC2D8" w14:textId="55997993" w:rsidR="00EC047F" w:rsidRPr="00255E85" w:rsidRDefault="00EC047F" w:rsidP="00942D4B">
      <w:pPr>
        <w:pStyle w:val="ListParagraph"/>
        <w:numPr>
          <w:ilvl w:val="0"/>
          <w:numId w:val="39"/>
        </w:numPr>
        <w:jc w:val="both"/>
      </w:pPr>
      <w:r w:rsidRPr="00255E85">
        <w:t xml:space="preserve">There are several ways in which training services may be used in conjunction with RA programs for individuals determined eligible for WIOA title I services: </w:t>
      </w:r>
    </w:p>
    <w:p w14:paraId="390ED6CC" w14:textId="77777777" w:rsidR="00EC047F" w:rsidRPr="00255E85" w:rsidRDefault="00EC047F" w:rsidP="00942D4B">
      <w:pPr>
        <w:pStyle w:val="ListParagraph"/>
        <w:numPr>
          <w:ilvl w:val="0"/>
          <w:numId w:val="40"/>
        </w:numPr>
        <w:jc w:val="both"/>
      </w:pPr>
      <w:r w:rsidRPr="00255E85">
        <w:t xml:space="preserve">An ITA may be developed for a participant to receive RA training. </w:t>
      </w:r>
    </w:p>
    <w:p w14:paraId="0953338B" w14:textId="77777777" w:rsidR="00EC047F" w:rsidRPr="00255E85" w:rsidRDefault="00EC047F" w:rsidP="00942D4B">
      <w:pPr>
        <w:pStyle w:val="ListParagraph"/>
        <w:numPr>
          <w:ilvl w:val="0"/>
          <w:numId w:val="40"/>
        </w:numPr>
        <w:jc w:val="both"/>
      </w:pPr>
      <w:r w:rsidRPr="00255E85">
        <w:t xml:space="preserve">An on-the-job training (OJT) contract may be developed with an RA program for providing both classroom and on-the-job instruction. </w:t>
      </w:r>
    </w:p>
    <w:p w14:paraId="57ED1065" w14:textId="77777777" w:rsidR="00EC047F" w:rsidRPr="00255E85" w:rsidRDefault="00EC047F" w:rsidP="00942D4B">
      <w:pPr>
        <w:pStyle w:val="ListParagraph"/>
        <w:numPr>
          <w:ilvl w:val="0"/>
          <w:numId w:val="40"/>
        </w:numPr>
        <w:jc w:val="both"/>
      </w:pPr>
      <w:r w:rsidRPr="00255E85">
        <w:t xml:space="preserve">A combination of an ITA to cover the classroom instruction along with an OJT contract to cover on-the-job portions of the RA is allowed. </w:t>
      </w:r>
    </w:p>
    <w:p w14:paraId="3C9AD5AC" w14:textId="77777777" w:rsidR="00EC047F" w:rsidRPr="00255E85" w:rsidRDefault="00EC047F" w:rsidP="00942D4B">
      <w:pPr>
        <w:pStyle w:val="ListParagraph"/>
        <w:numPr>
          <w:ilvl w:val="0"/>
          <w:numId w:val="40"/>
        </w:numPr>
        <w:jc w:val="both"/>
      </w:pPr>
      <w:r w:rsidRPr="00255E85">
        <w:t xml:space="preserve">Incumbent worker training may be used for upskilling apprentices or journey workers who already have an established working/training relationship with the RA program, provided the requirements of WIOA 134(d)(4) are met. </w:t>
      </w:r>
    </w:p>
    <w:p w14:paraId="1B03FF4E" w14:textId="215FEA0D" w:rsidR="00EC047F" w:rsidRPr="00255E85" w:rsidRDefault="00A44BBF" w:rsidP="00942D4B">
      <w:pPr>
        <w:pStyle w:val="ListParagraph"/>
        <w:numPr>
          <w:ilvl w:val="0"/>
          <w:numId w:val="40"/>
        </w:numPr>
        <w:jc w:val="both"/>
      </w:pPr>
      <w:r w:rsidRPr="00255E85">
        <w:t>NEWDB</w:t>
      </w:r>
      <w:r w:rsidR="00EC047F" w:rsidRPr="00255E85">
        <w:t xml:space="preserve"> may include supportive services, in conjunction with career and/or training services, to participants in an RA program, provided the supportive services are consistent </w:t>
      </w:r>
      <w:r w:rsidR="00EC047F" w:rsidRPr="00255E85">
        <w:lastRenderedPageBreak/>
        <w:t xml:space="preserve">with WIOA section 134(d)(2), section 12 of TEGL No. 19-16, this issuance, and </w:t>
      </w:r>
      <w:r w:rsidR="00995C4B" w:rsidRPr="00255E85">
        <w:t>NEWDB</w:t>
      </w:r>
      <w:r w:rsidR="00EC047F" w:rsidRPr="00255E85">
        <w:t xml:space="preserve"> policies.</w:t>
      </w:r>
    </w:p>
    <w:p w14:paraId="03660252" w14:textId="166D40F9" w:rsidR="00EC047F" w:rsidRPr="00255E85" w:rsidRDefault="00EC047F" w:rsidP="00942D4B">
      <w:pPr>
        <w:pStyle w:val="ListParagraph"/>
        <w:numPr>
          <w:ilvl w:val="0"/>
          <w:numId w:val="40"/>
        </w:numPr>
        <w:jc w:val="both"/>
      </w:pPr>
      <w:r w:rsidRPr="00255E85">
        <w:t xml:space="preserve">In all instances, a participant’s eligibility for WIOA must be properly established and documented prior to the commitment of funds for RA programs.  </w:t>
      </w:r>
    </w:p>
    <w:p w14:paraId="78625490" w14:textId="77777777" w:rsidR="00B04FCA" w:rsidRPr="00255E85" w:rsidRDefault="00B04FCA" w:rsidP="00942D4B">
      <w:pPr>
        <w:pStyle w:val="ListParagraph"/>
        <w:jc w:val="both"/>
      </w:pPr>
    </w:p>
    <w:p w14:paraId="116E0DD6" w14:textId="77777777" w:rsidR="00B04FCA" w:rsidRPr="00255E85" w:rsidRDefault="00EC047F" w:rsidP="00942D4B">
      <w:pPr>
        <w:pStyle w:val="ListParagraph"/>
        <w:numPr>
          <w:ilvl w:val="0"/>
          <w:numId w:val="39"/>
        </w:numPr>
        <w:jc w:val="both"/>
      </w:pPr>
      <w:r w:rsidRPr="00255E85">
        <w:t xml:space="preserve">Complete and accurate reporting of RA participation is vital to both the State’s sector strategy and career pathways approaches.  Participants who are placed into an RA with WIOA funds or individuals in an RA at the time of program entry must be clearly identified.  An individual in an RA at the time of program entry must identify at the time of registration in their demographic as a registered apprentice. </w:t>
      </w:r>
    </w:p>
    <w:p w14:paraId="7B73B2FE" w14:textId="5691342C" w:rsidR="00EC047F" w:rsidRPr="00255E85" w:rsidRDefault="00EC047F" w:rsidP="00942D4B">
      <w:pPr>
        <w:pStyle w:val="ListParagraph"/>
        <w:numPr>
          <w:ilvl w:val="0"/>
          <w:numId w:val="41"/>
        </w:numPr>
        <w:jc w:val="both"/>
      </w:pPr>
      <w:r w:rsidRPr="00255E85">
        <w:t xml:space="preserve">If an on-the-job training or skill upgrading is provided as part of a RA program, the Registered Apprenticeship training service in the participant’s Service &amp; Training Plan in OKJobMatch must be utilized. </w:t>
      </w:r>
    </w:p>
    <w:p w14:paraId="62842A40" w14:textId="77777777" w:rsidR="00B04FCA" w:rsidRDefault="00B04FCA" w:rsidP="00942D4B">
      <w:pPr>
        <w:pStyle w:val="ListParagraph"/>
        <w:autoSpaceDE w:val="0"/>
        <w:autoSpaceDN w:val="0"/>
        <w:adjustRightInd w:val="0"/>
        <w:ind w:left="360"/>
        <w:jc w:val="both"/>
        <w:rPr>
          <w:rFonts w:cstheme="minorHAnsi"/>
          <w:b/>
          <w:color w:val="000000"/>
        </w:rPr>
      </w:pPr>
    </w:p>
    <w:p w14:paraId="63B672FD" w14:textId="1F2C7B0F" w:rsidR="009E4313" w:rsidRPr="0098164A" w:rsidRDefault="00255E85" w:rsidP="00942D4B">
      <w:pPr>
        <w:pStyle w:val="Heading2"/>
        <w:numPr>
          <w:ilvl w:val="0"/>
          <w:numId w:val="0"/>
        </w:numPr>
        <w:jc w:val="both"/>
      </w:pPr>
      <w:bookmarkStart w:id="20" w:name="_Hlk528147095"/>
      <w:bookmarkStart w:id="21" w:name="_Hlk529523376"/>
      <w:bookmarkStart w:id="22" w:name="_Hlk528146841"/>
      <w:r>
        <w:t>6.7</w:t>
      </w:r>
      <w:r>
        <w:tab/>
      </w:r>
      <w:r w:rsidR="00EC047F" w:rsidRPr="0098164A">
        <w:t>On-the-Job Training (OJT)</w:t>
      </w:r>
      <w:bookmarkEnd w:id="20"/>
      <w:r w:rsidR="00EC047F" w:rsidRPr="0098164A">
        <w:t xml:space="preserve"> </w:t>
      </w:r>
    </w:p>
    <w:p w14:paraId="340B1193" w14:textId="069FCCBB" w:rsidR="00EC047F" w:rsidRPr="00FA25BC" w:rsidRDefault="006A63F6" w:rsidP="00942D4B">
      <w:pPr>
        <w:ind w:left="720"/>
        <w:jc w:val="both"/>
        <w:rPr>
          <w:b/>
        </w:rPr>
      </w:pPr>
      <w:r w:rsidRPr="009E4313">
        <w:t xml:space="preserve">OJT </w:t>
      </w:r>
      <w:r w:rsidR="00EC047F" w:rsidRPr="009E4313">
        <w:t xml:space="preserve">continues to be a key method </w:t>
      </w:r>
      <w:bookmarkEnd w:id="21"/>
      <w:r w:rsidR="00EC047F" w:rsidRPr="009E4313">
        <w:t xml:space="preserve">for delivering training services to adults and dislocated workers.  </w:t>
      </w:r>
      <w:bookmarkEnd w:id="22"/>
      <w:r w:rsidRPr="005268F8">
        <w:t>NEWDB</w:t>
      </w:r>
      <w:r w:rsidR="00EC047F" w:rsidRPr="005268F8">
        <w:t xml:space="preserve"> provide</w:t>
      </w:r>
      <w:r w:rsidRPr="005268F8">
        <w:t>s</w:t>
      </w:r>
      <w:r w:rsidR="00EC047F" w:rsidRPr="005268F8">
        <w:t xml:space="preserve"> up to 50 percent of the wage rate</w:t>
      </w:r>
      <w:r w:rsidR="00EC047F" w:rsidRPr="00FA25BC">
        <w:t xml:space="preserve"> of the participant to employers for the costs of training while the participant is in the program.  For </w:t>
      </w:r>
      <w:r w:rsidR="00712D4E" w:rsidRPr="00FA25BC">
        <w:t>NEWDB</w:t>
      </w:r>
      <w:r w:rsidR="00EC047F" w:rsidRPr="00FA25BC">
        <w:t xml:space="preserve"> to increase the reimbursement level up to 75 percent,</w:t>
      </w:r>
      <w:r w:rsidR="00EC047F" w:rsidRPr="00FA25BC">
        <w:rPr>
          <w:color w:val="C00000"/>
        </w:rPr>
        <w:t xml:space="preserve"> </w:t>
      </w:r>
      <w:r w:rsidR="00EC047F" w:rsidRPr="00FA25BC">
        <w:t xml:space="preserve">the following factors must be taken into account: </w:t>
      </w:r>
    </w:p>
    <w:p w14:paraId="27ADF43E" w14:textId="77226DB7" w:rsidR="00EC047F" w:rsidRPr="00D17DFD" w:rsidRDefault="00EC047F" w:rsidP="00942D4B">
      <w:pPr>
        <w:pStyle w:val="ListParagraph"/>
        <w:numPr>
          <w:ilvl w:val="0"/>
          <w:numId w:val="1"/>
        </w:numPr>
        <w:autoSpaceDE w:val="0"/>
        <w:autoSpaceDN w:val="0"/>
        <w:adjustRightInd w:val="0"/>
        <w:spacing w:after="0" w:line="240" w:lineRule="auto"/>
        <w:jc w:val="both"/>
        <w:rPr>
          <w:rFonts w:cstheme="minorHAnsi"/>
          <w:color w:val="000000"/>
        </w:rPr>
      </w:pPr>
      <w:r w:rsidRPr="00D17DFD">
        <w:rPr>
          <w:rFonts w:cstheme="minorHAnsi"/>
          <w:color w:val="000000"/>
        </w:rPr>
        <w:t>The characteristics of the participants</w:t>
      </w:r>
      <w:r w:rsidR="006548D8" w:rsidRPr="00D17DFD">
        <w:rPr>
          <w:rFonts w:cstheme="minorHAnsi"/>
          <w:color w:val="000000"/>
        </w:rPr>
        <w:t>—D</w:t>
      </w:r>
      <w:r w:rsidR="006548D8" w:rsidRPr="00D17DFD">
        <w:rPr>
          <w:rFonts w:cstheme="minorHAnsi"/>
          <w:color w:val="3B3B3B"/>
          <w:spacing w:val="-3"/>
        </w:rPr>
        <w:t>e</w:t>
      </w:r>
      <w:r w:rsidR="006548D8" w:rsidRPr="00D17DFD">
        <w:rPr>
          <w:rFonts w:cstheme="minorHAnsi"/>
          <w:color w:val="131313"/>
          <w:spacing w:val="-3"/>
        </w:rPr>
        <w:t xml:space="preserve">fined </w:t>
      </w:r>
      <w:r w:rsidR="006548D8" w:rsidRPr="00D17DFD">
        <w:rPr>
          <w:rFonts w:cstheme="minorHAnsi"/>
          <w:color w:val="131313"/>
        </w:rPr>
        <w:t xml:space="preserve">locally </w:t>
      </w:r>
      <w:r w:rsidR="006548D8" w:rsidRPr="00D17DFD">
        <w:rPr>
          <w:rFonts w:cstheme="minorHAnsi"/>
          <w:color w:val="262626"/>
        </w:rPr>
        <w:t xml:space="preserve">as long-term </w:t>
      </w:r>
      <w:r w:rsidR="006548D8" w:rsidRPr="00D17DFD">
        <w:rPr>
          <w:rFonts w:cstheme="minorHAnsi"/>
          <w:color w:val="131313"/>
        </w:rPr>
        <w:t xml:space="preserve">unemployed </w:t>
      </w:r>
      <w:r w:rsidR="006548D8" w:rsidRPr="00D17DFD">
        <w:rPr>
          <w:rFonts w:cstheme="minorHAnsi"/>
          <w:color w:val="262626"/>
        </w:rPr>
        <w:t>(</w:t>
      </w:r>
      <w:r w:rsidR="00867022" w:rsidRPr="00D17DFD">
        <w:rPr>
          <w:rFonts w:cstheme="minorHAnsi"/>
          <w:color w:val="262626"/>
        </w:rPr>
        <w:t>2</w:t>
      </w:r>
      <w:r w:rsidR="00867022">
        <w:rPr>
          <w:rFonts w:cstheme="minorHAnsi"/>
          <w:color w:val="262626"/>
        </w:rPr>
        <w:t>7</w:t>
      </w:r>
      <w:r w:rsidR="006548D8" w:rsidRPr="00D17DFD">
        <w:rPr>
          <w:rFonts w:cstheme="minorHAnsi"/>
          <w:color w:val="131313"/>
        </w:rPr>
        <w:t xml:space="preserve">weeks </w:t>
      </w:r>
      <w:r w:rsidR="006548D8" w:rsidRPr="00D17DFD">
        <w:rPr>
          <w:rFonts w:cstheme="minorHAnsi"/>
          <w:color w:val="262626"/>
        </w:rPr>
        <w:t>or</w:t>
      </w:r>
      <w:r w:rsidR="006548D8" w:rsidRPr="00D17DFD">
        <w:rPr>
          <w:rFonts w:cstheme="minorHAnsi"/>
          <w:color w:val="131313"/>
        </w:rPr>
        <w:t xml:space="preserve"> longer)</w:t>
      </w:r>
      <w:r w:rsidR="006548D8" w:rsidRPr="00D17DFD">
        <w:rPr>
          <w:rFonts w:cstheme="minorHAnsi"/>
          <w:color w:val="000000"/>
        </w:rPr>
        <w:t>;</w:t>
      </w:r>
      <w:r w:rsidR="002D5119" w:rsidRPr="00D17DFD">
        <w:rPr>
          <w:rFonts w:cstheme="minorHAnsi"/>
          <w:color w:val="000000"/>
        </w:rPr>
        <w:t xml:space="preserve"> </w:t>
      </w:r>
      <w:r w:rsidR="006548D8" w:rsidRPr="00D17DFD">
        <w:rPr>
          <w:rFonts w:cstheme="minorHAnsi"/>
          <w:color w:val="000000"/>
        </w:rPr>
        <w:t xml:space="preserve"> </w:t>
      </w:r>
    </w:p>
    <w:p w14:paraId="577FBF12" w14:textId="343FD2CE" w:rsidR="00EC047F" w:rsidRPr="00D17DFD" w:rsidRDefault="00EC047F" w:rsidP="00942D4B">
      <w:pPr>
        <w:pStyle w:val="ListParagraph"/>
        <w:numPr>
          <w:ilvl w:val="0"/>
          <w:numId w:val="1"/>
        </w:numPr>
        <w:autoSpaceDE w:val="0"/>
        <w:autoSpaceDN w:val="0"/>
        <w:adjustRightInd w:val="0"/>
        <w:spacing w:after="0" w:line="240" w:lineRule="auto"/>
        <w:jc w:val="both"/>
        <w:rPr>
          <w:rFonts w:cstheme="minorHAnsi"/>
          <w:color w:val="000000"/>
        </w:rPr>
      </w:pPr>
      <w:r w:rsidRPr="00D17DFD">
        <w:rPr>
          <w:rFonts w:cstheme="minorHAnsi"/>
          <w:color w:val="000000"/>
        </w:rPr>
        <w:t xml:space="preserve">The </w:t>
      </w:r>
      <w:r w:rsidR="002031CE" w:rsidRPr="00D17DFD">
        <w:rPr>
          <w:rFonts w:cstheme="minorHAnsi"/>
          <w:color w:val="000000"/>
        </w:rPr>
        <w:t>employer must have fewer than</w:t>
      </w:r>
      <w:r w:rsidR="006C539D" w:rsidRPr="00D17DFD">
        <w:rPr>
          <w:rFonts w:cstheme="minorHAnsi"/>
          <w:color w:val="000000"/>
        </w:rPr>
        <w:t xml:space="preserve">100 </w:t>
      </w:r>
      <w:r w:rsidR="002031CE" w:rsidRPr="00D17DFD">
        <w:rPr>
          <w:rFonts w:cstheme="minorHAnsi"/>
          <w:color w:val="000000"/>
        </w:rPr>
        <w:t>employees</w:t>
      </w:r>
    </w:p>
    <w:p w14:paraId="5AD1F97E" w14:textId="5367E376" w:rsidR="00EC047F" w:rsidRPr="00D17DFD" w:rsidRDefault="006548D8" w:rsidP="00942D4B">
      <w:pPr>
        <w:pStyle w:val="ListParagraph"/>
        <w:numPr>
          <w:ilvl w:val="0"/>
          <w:numId w:val="1"/>
        </w:numPr>
        <w:autoSpaceDE w:val="0"/>
        <w:autoSpaceDN w:val="0"/>
        <w:adjustRightInd w:val="0"/>
        <w:spacing w:after="0" w:line="240" w:lineRule="auto"/>
        <w:jc w:val="both"/>
        <w:rPr>
          <w:rFonts w:cstheme="minorHAnsi"/>
          <w:color w:val="000000"/>
        </w:rPr>
      </w:pPr>
      <w:r w:rsidRPr="00164896">
        <w:rPr>
          <w:rFonts w:cstheme="minorHAnsi"/>
          <w:color w:val="262626"/>
          <w:w w:val="105"/>
        </w:rPr>
        <w:t>Extraordinary</w:t>
      </w:r>
      <w:r w:rsidRPr="00164896">
        <w:rPr>
          <w:rFonts w:cstheme="minorHAnsi"/>
          <w:color w:val="262626"/>
          <w:spacing w:val="-8"/>
          <w:w w:val="105"/>
        </w:rPr>
        <w:t xml:space="preserve"> </w:t>
      </w:r>
      <w:r w:rsidRPr="00164896">
        <w:rPr>
          <w:rFonts w:cstheme="minorHAnsi"/>
          <w:color w:val="131313"/>
          <w:w w:val="105"/>
        </w:rPr>
        <w:t>training</w:t>
      </w:r>
      <w:r w:rsidRPr="00164896">
        <w:rPr>
          <w:rFonts w:cstheme="minorHAnsi"/>
          <w:color w:val="131313"/>
          <w:spacing w:val="-22"/>
          <w:w w:val="105"/>
        </w:rPr>
        <w:t xml:space="preserve"> </w:t>
      </w:r>
      <w:r w:rsidRPr="00164896">
        <w:rPr>
          <w:rFonts w:cstheme="minorHAnsi"/>
          <w:color w:val="262626"/>
          <w:w w:val="105"/>
        </w:rPr>
        <w:t>and</w:t>
      </w:r>
      <w:r w:rsidRPr="00164896">
        <w:rPr>
          <w:rFonts w:cstheme="minorHAnsi"/>
          <w:color w:val="262626"/>
          <w:spacing w:val="-24"/>
          <w:w w:val="105"/>
        </w:rPr>
        <w:t xml:space="preserve"> </w:t>
      </w:r>
      <w:r w:rsidRPr="00164896">
        <w:rPr>
          <w:rFonts w:cstheme="minorHAnsi"/>
          <w:color w:val="262626"/>
          <w:w w:val="105"/>
        </w:rPr>
        <w:t>advancement</w:t>
      </w:r>
      <w:r w:rsidRPr="00164896">
        <w:rPr>
          <w:rFonts w:cstheme="minorHAnsi"/>
          <w:color w:val="262626"/>
          <w:spacing w:val="-7"/>
          <w:w w:val="105"/>
        </w:rPr>
        <w:t xml:space="preserve"> </w:t>
      </w:r>
      <w:r w:rsidRPr="00164896">
        <w:rPr>
          <w:rFonts w:cstheme="minorHAnsi"/>
          <w:color w:val="262626"/>
          <w:w w:val="105"/>
        </w:rPr>
        <w:t>opportunities</w:t>
      </w:r>
      <w:r w:rsidRPr="00164896">
        <w:rPr>
          <w:rFonts w:cstheme="minorHAnsi"/>
          <w:color w:val="262626"/>
          <w:spacing w:val="-25"/>
          <w:w w:val="105"/>
        </w:rPr>
        <w:t xml:space="preserve"> </w:t>
      </w:r>
      <w:r w:rsidRPr="00F22E9C">
        <w:rPr>
          <w:rFonts w:cstheme="minorHAnsi"/>
          <w:color w:val="4D4D4D"/>
          <w:w w:val="105"/>
        </w:rPr>
        <w:t>-</w:t>
      </w:r>
      <w:r w:rsidRPr="00F22E9C">
        <w:rPr>
          <w:rFonts w:ascii="Arial" w:hAnsi="Arial" w:cs="Arial"/>
          <w:color w:val="4D4D4D"/>
          <w:spacing w:val="16"/>
          <w:w w:val="105"/>
          <w:sz w:val="19"/>
          <w:szCs w:val="19"/>
        </w:rPr>
        <w:t xml:space="preserve"> </w:t>
      </w:r>
      <w:r w:rsidR="002031CE" w:rsidRPr="00F22E9C">
        <w:rPr>
          <w:rFonts w:cstheme="minorHAnsi"/>
          <w:color w:val="000000"/>
        </w:rPr>
        <w:t>The employer’s quality</w:t>
      </w:r>
      <w:r w:rsidR="002031CE" w:rsidRPr="00D17DFD">
        <w:rPr>
          <w:rFonts w:cstheme="minorHAnsi"/>
          <w:color w:val="000000"/>
        </w:rPr>
        <w:t xml:space="preserve"> training leads to industry recognized certification</w:t>
      </w:r>
      <w:r w:rsidR="00EC047F" w:rsidRPr="00D17DFD">
        <w:rPr>
          <w:rFonts w:cstheme="minorHAnsi"/>
          <w:color w:val="000000"/>
        </w:rPr>
        <w:t xml:space="preserve">; and </w:t>
      </w:r>
    </w:p>
    <w:p w14:paraId="7D000167" w14:textId="0F86FD5C" w:rsidR="00D17DFD" w:rsidRDefault="006548D8" w:rsidP="00942D4B">
      <w:pPr>
        <w:pStyle w:val="ListParagraph"/>
        <w:numPr>
          <w:ilvl w:val="0"/>
          <w:numId w:val="1"/>
        </w:numPr>
        <w:autoSpaceDE w:val="0"/>
        <w:autoSpaceDN w:val="0"/>
        <w:adjustRightInd w:val="0"/>
        <w:spacing w:after="0" w:line="240" w:lineRule="auto"/>
        <w:jc w:val="both"/>
        <w:rPr>
          <w:rFonts w:cstheme="minorHAnsi"/>
          <w:color w:val="000000"/>
        </w:rPr>
      </w:pPr>
      <w:r w:rsidRPr="00D17DFD">
        <w:rPr>
          <w:rFonts w:cstheme="minorHAnsi"/>
          <w:color w:val="131313"/>
        </w:rPr>
        <w:t xml:space="preserve">The </w:t>
      </w:r>
      <w:r w:rsidRPr="00D17DFD">
        <w:rPr>
          <w:rFonts w:cstheme="minorHAnsi"/>
          <w:color w:val="262626"/>
        </w:rPr>
        <w:t xml:space="preserve">employer pays </w:t>
      </w:r>
      <w:r w:rsidRPr="00D17DFD">
        <w:rPr>
          <w:rFonts w:cstheme="minorHAnsi"/>
          <w:color w:val="3B3B3B"/>
        </w:rPr>
        <w:t xml:space="preserve">a </w:t>
      </w:r>
      <w:r w:rsidRPr="00D17DFD">
        <w:rPr>
          <w:rFonts w:cstheme="minorHAnsi"/>
          <w:color w:val="262626"/>
        </w:rPr>
        <w:t xml:space="preserve">beginning rate of pay of </w:t>
      </w:r>
      <w:r w:rsidRPr="00192931">
        <w:rPr>
          <w:rFonts w:cstheme="minorHAnsi"/>
          <w:color w:val="262626"/>
        </w:rPr>
        <w:t>$14.</w:t>
      </w:r>
      <w:r w:rsidR="00192931">
        <w:rPr>
          <w:rFonts w:cstheme="minorHAnsi"/>
          <w:color w:val="262626"/>
        </w:rPr>
        <w:t>62</w:t>
      </w:r>
      <w:r w:rsidR="00192931" w:rsidRPr="00192931">
        <w:rPr>
          <w:rFonts w:cstheme="minorHAnsi"/>
          <w:color w:val="262626"/>
        </w:rPr>
        <w:t xml:space="preserve"> </w:t>
      </w:r>
      <w:r w:rsidRPr="00192931">
        <w:rPr>
          <w:rFonts w:cstheme="minorHAnsi"/>
          <w:color w:val="262626"/>
        </w:rPr>
        <w:t>or</w:t>
      </w:r>
      <w:r w:rsidRPr="00192931">
        <w:rPr>
          <w:rFonts w:cstheme="minorHAnsi"/>
          <w:color w:val="262626"/>
          <w:spacing w:val="-9"/>
        </w:rPr>
        <w:t xml:space="preserve"> </w:t>
      </w:r>
      <w:r w:rsidRPr="00192931">
        <w:rPr>
          <w:rFonts w:cstheme="minorHAnsi"/>
          <w:color w:val="131313"/>
        </w:rPr>
        <w:t>higher</w:t>
      </w:r>
      <w:r w:rsidRPr="00D17DFD">
        <w:rPr>
          <w:rFonts w:cstheme="minorHAnsi"/>
          <w:strike/>
          <w:color w:val="000000"/>
        </w:rPr>
        <w:t xml:space="preserve"> </w:t>
      </w:r>
    </w:p>
    <w:p w14:paraId="1BB35985" w14:textId="4D0CBEC9" w:rsidR="002C3774" w:rsidRPr="00D17DFD" w:rsidRDefault="002C3774" w:rsidP="00942D4B">
      <w:pPr>
        <w:pStyle w:val="ListParagraph"/>
        <w:autoSpaceDE w:val="0"/>
        <w:autoSpaceDN w:val="0"/>
        <w:adjustRightInd w:val="0"/>
        <w:spacing w:after="0" w:line="240" w:lineRule="auto"/>
        <w:ind w:left="1440"/>
        <w:jc w:val="both"/>
        <w:rPr>
          <w:rFonts w:cstheme="minorHAnsi"/>
          <w:color w:val="000000"/>
        </w:rPr>
      </w:pPr>
    </w:p>
    <w:p w14:paraId="7B5E7021" w14:textId="365C6F8B" w:rsidR="00F66CE1" w:rsidRPr="00C26823" w:rsidRDefault="007536A6" w:rsidP="00942D4B">
      <w:pPr>
        <w:autoSpaceDE w:val="0"/>
        <w:autoSpaceDN w:val="0"/>
        <w:adjustRightInd w:val="0"/>
        <w:spacing w:after="0" w:line="240" w:lineRule="auto"/>
        <w:ind w:left="720"/>
        <w:jc w:val="both"/>
        <w:rPr>
          <w:rFonts w:cstheme="minorHAnsi"/>
          <w:color w:val="000000"/>
        </w:rPr>
      </w:pPr>
      <w:r w:rsidRPr="00D17DFD">
        <w:rPr>
          <w:rFonts w:cstheme="minorHAnsi"/>
          <w:color w:val="000000"/>
        </w:rPr>
        <w:t xml:space="preserve">The service provider </w:t>
      </w:r>
      <w:r w:rsidR="00EC047F" w:rsidRPr="00D17DFD">
        <w:rPr>
          <w:rFonts w:cstheme="minorHAnsi"/>
          <w:color w:val="000000"/>
        </w:rPr>
        <w:t xml:space="preserve">must </w:t>
      </w:r>
      <w:r w:rsidR="00486E2B" w:rsidRPr="00D17DFD">
        <w:rPr>
          <w:rFonts w:cstheme="minorHAnsi"/>
          <w:color w:val="000000"/>
        </w:rPr>
        <w:t xml:space="preserve">submit documentation to the NEWDB </w:t>
      </w:r>
      <w:r w:rsidR="00D17DFD">
        <w:rPr>
          <w:rFonts w:cstheme="minorHAnsi"/>
          <w:color w:val="000000"/>
        </w:rPr>
        <w:t xml:space="preserve">Executive Director </w:t>
      </w:r>
      <w:r w:rsidR="00486E2B" w:rsidRPr="00D17DFD">
        <w:rPr>
          <w:rFonts w:cstheme="minorHAnsi"/>
          <w:color w:val="000000"/>
        </w:rPr>
        <w:t xml:space="preserve">for approval prior to increasing the reimbursement levels up to 75%.  The service provider must </w:t>
      </w:r>
      <w:r w:rsidR="00D17DFD">
        <w:rPr>
          <w:rFonts w:cstheme="minorHAnsi"/>
          <w:color w:val="000000"/>
        </w:rPr>
        <w:t xml:space="preserve">provide the Executive Director with the details of factors for requesting the increase and the recommended percentage increase.   Once the increase has been approved, the service provider must document the details </w:t>
      </w:r>
      <w:r w:rsidR="00240D21">
        <w:rPr>
          <w:rFonts w:cstheme="minorHAnsi"/>
          <w:color w:val="000000"/>
        </w:rPr>
        <w:t xml:space="preserve">supporting the increase in the reimbursement </w:t>
      </w:r>
      <w:r w:rsidR="00240D21" w:rsidRPr="000D333A">
        <w:rPr>
          <w:rFonts w:cstheme="minorHAnsi"/>
          <w:color w:val="000000"/>
        </w:rPr>
        <w:t>percentage</w:t>
      </w:r>
      <w:r w:rsidR="00240D21">
        <w:rPr>
          <w:rFonts w:cstheme="minorHAnsi"/>
          <w:color w:val="000000"/>
        </w:rPr>
        <w:t xml:space="preserve"> </w:t>
      </w:r>
      <w:r w:rsidR="00D17DFD" w:rsidRPr="000D333A">
        <w:rPr>
          <w:rFonts w:cstheme="minorHAnsi"/>
          <w:color w:val="000000"/>
        </w:rPr>
        <w:t>in</w:t>
      </w:r>
      <w:r w:rsidR="00D17DFD">
        <w:rPr>
          <w:rFonts w:cstheme="minorHAnsi"/>
          <w:color w:val="000000"/>
        </w:rPr>
        <w:t xml:space="preserve"> a detailed program note and upload </w:t>
      </w:r>
      <w:r w:rsidR="00240D21">
        <w:rPr>
          <w:rFonts w:cstheme="minorHAnsi"/>
          <w:color w:val="000000"/>
        </w:rPr>
        <w:t xml:space="preserve">all supporting </w:t>
      </w:r>
      <w:r w:rsidR="00D17DFD">
        <w:rPr>
          <w:rFonts w:cstheme="minorHAnsi"/>
          <w:color w:val="000000"/>
        </w:rPr>
        <w:t xml:space="preserve">documents </w:t>
      </w:r>
      <w:r w:rsidR="00240D21">
        <w:rPr>
          <w:rFonts w:cstheme="minorHAnsi"/>
          <w:color w:val="000000"/>
        </w:rPr>
        <w:t>used to validate the increase.</w:t>
      </w:r>
    </w:p>
    <w:p w14:paraId="600986EB" w14:textId="6889BC5D" w:rsidR="00F66CE1" w:rsidRDefault="00F66CE1" w:rsidP="00942D4B">
      <w:pPr>
        <w:pStyle w:val="Default"/>
        <w:jc w:val="both"/>
        <w:rPr>
          <w:rFonts w:asciiTheme="minorHAnsi" w:eastAsiaTheme="minorHAnsi" w:hAnsiTheme="minorHAnsi" w:cstheme="minorHAnsi"/>
          <w:b/>
          <w:color w:val="auto"/>
          <w:sz w:val="22"/>
          <w:szCs w:val="22"/>
        </w:rPr>
      </w:pPr>
    </w:p>
    <w:p w14:paraId="566AAFD4" w14:textId="004ED691" w:rsidR="00F66CE1" w:rsidRPr="000D333A" w:rsidRDefault="00255E85" w:rsidP="00942D4B">
      <w:pPr>
        <w:pStyle w:val="Heading2"/>
        <w:numPr>
          <w:ilvl w:val="0"/>
          <w:numId w:val="0"/>
        </w:numPr>
        <w:jc w:val="both"/>
      </w:pPr>
      <w:r>
        <w:t>6.8</w:t>
      </w:r>
      <w:r>
        <w:tab/>
      </w:r>
      <w:r w:rsidR="00F66CE1" w:rsidRPr="000D333A">
        <w:t xml:space="preserve">Supportive Services </w:t>
      </w:r>
    </w:p>
    <w:p w14:paraId="0EBDE9D6" w14:textId="5D163CE1" w:rsidR="00240D21" w:rsidRPr="0046775A" w:rsidRDefault="00F66CE1" w:rsidP="00942D4B">
      <w:pPr>
        <w:ind w:left="720"/>
        <w:jc w:val="both"/>
        <w:rPr>
          <w:rFonts w:cstheme="minorHAnsi"/>
        </w:rPr>
      </w:pPr>
      <w:r w:rsidRPr="000D333A">
        <w:t xml:space="preserve">Supportive </w:t>
      </w:r>
      <w:r w:rsidR="00EC047F" w:rsidRPr="000D333A">
        <w:t>services are designed to provide a participant with the resources necessary to participate in career services and/or and training services.  Supportive services may be made available to anyone participating in title I career services (</w:t>
      </w:r>
      <w:r w:rsidR="00EC047F" w:rsidRPr="000D333A">
        <w:rPr>
          <w:u w:val="single"/>
        </w:rPr>
        <w:t>excluding</w:t>
      </w:r>
      <w:r w:rsidR="00EC047F" w:rsidRPr="000D333A">
        <w:t xml:space="preserve"> follow up career services) or training services.  </w:t>
      </w:r>
    </w:p>
    <w:p w14:paraId="6D08C106" w14:textId="5A6BAF9E" w:rsidR="00EC047F" w:rsidRPr="000D333A" w:rsidRDefault="006A63F6" w:rsidP="00942D4B">
      <w:pPr>
        <w:pStyle w:val="ListParagraph"/>
        <w:numPr>
          <w:ilvl w:val="0"/>
          <w:numId w:val="42"/>
        </w:numPr>
        <w:jc w:val="both"/>
      </w:pPr>
      <w:r w:rsidRPr="000D333A">
        <w:t>NE</w:t>
      </w:r>
      <w:r w:rsidR="00EC047F" w:rsidRPr="000D333A">
        <w:t xml:space="preserve">WDB </w:t>
      </w:r>
      <w:r w:rsidRPr="000D333A">
        <w:t>has</w:t>
      </w:r>
      <w:r w:rsidR="00EC047F" w:rsidRPr="000D333A">
        <w:t xml:space="preserve"> deve</w:t>
      </w:r>
      <w:r w:rsidRPr="000D333A">
        <w:t>l</w:t>
      </w:r>
      <w:r w:rsidR="00EC047F" w:rsidRPr="000D333A">
        <w:t>op</w:t>
      </w:r>
      <w:r w:rsidRPr="000D333A">
        <w:t>ed</w:t>
      </w:r>
      <w:r w:rsidR="00EC047F" w:rsidRPr="000D333A">
        <w:t xml:space="preserve"> written policies and procedures for the provision of supportive services. </w:t>
      </w:r>
      <w:r w:rsidR="00476D8B" w:rsidRPr="000D333A">
        <w:t xml:space="preserve"> The s</w:t>
      </w:r>
      <w:r w:rsidR="00EC047F" w:rsidRPr="000D333A">
        <w:t xml:space="preserve">upportive services policy </w:t>
      </w:r>
      <w:r w:rsidR="00476D8B" w:rsidRPr="000D333A">
        <w:t>outlines the following:</w:t>
      </w:r>
    </w:p>
    <w:p w14:paraId="03E1F36D" w14:textId="77777777" w:rsidR="00EC047F" w:rsidRPr="005268F8" w:rsidRDefault="00EC047F" w:rsidP="00942D4B">
      <w:pPr>
        <w:pStyle w:val="ListParagraph"/>
        <w:numPr>
          <w:ilvl w:val="0"/>
          <w:numId w:val="43"/>
        </w:numPr>
        <w:jc w:val="both"/>
      </w:pPr>
      <w:r w:rsidRPr="005268F8">
        <w:t xml:space="preserve">ensure the services are necessary to participate in title I activities; </w:t>
      </w:r>
    </w:p>
    <w:p w14:paraId="0E4453F9" w14:textId="77777777" w:rsidR="00EC047F" w:rsidRPr="005268F8" w:rsidRDefault="00EC047F" w:rsidP="00942D4B">
      <w:pPr>
        <w:pStyle w:val="ListParagraph"/>
        <w:numPr>
          <w:ilvl w:val="0"/>
          <w:numId w:val="43"/>
        </w:numPr>
        <w:jc w:val="both"/>
      </w:pPr>
      <w:r w:rsidRPr="005268F8">
        <w:t>ensure the supportive services are WIOA-funded only when these services are not available through other agencies or partners;</w:t>
      </w:r>
    </w:p>
    <w:p w14:paraId="6E5633D9" w14:textId="77777777" w:rsidR="00EC047F" w:rsidRPr="005268F8" w:rsidRDefault="00EC047F" w:rsidP="00942D4B">
      <w:pPr>
        <w:pStyle w:val="ListParagraph"/>
        <w:numPr>
          <w:ilvl w:val="0"/>
          <w:numId w:val="43"/>
        </w:numPr>
        <w:jc w:val="both"/>
      </w:pPr>
      <w:r w:rsidRPr="005268F8">
        <w:lastRenderedPageBreak/>
        <w:t xml:space="preserve">address how supportive services will be funded when they are not otherwise available from other sources; </w:t>
      </w:r>
    </w:p>
    <w:p w14:paraId="7C0FF51A" w14:textId="77777777" w:rsidR="00EC047F" w:rsidRPr="005268F8" w:rsidRDefault="00EC047F" w:rsidP="00942D4B">
      <w:pPr>
        <w:pStyle w:val="ListParagraph"/>
        <w:numPr>
          <w:ilvl w:val="0"/>
          <w:numId w:val="43"/>
        </w:numPr>
        <w:jc w:val="both"/>
      </w:pPr>
      <w:r w:rsidRPr="005268F8">
        <w:t>address procedures for referrals to supportive services;</w:t>
      </w:r>
    </w:p>
    <w:p w14:paraId="0B3AEE98" w14:textId="77777777" w:rsidR="00EC047F" w:rsidRPr="005268F8" w:rsidRDefault="00EC047F" w:rsidP="00942D4B">
      <w:pPr>
        <w:pStyle w:val="ListParagraph"/>
        <w:numPr>
          <w:ilvl w:val="0"/>
          <w:numId w:val="43"/>
        </w:numPr>
        <w:jc w:val="both"/>
      </w:pPr>
      <w:r w:rsidRPr="005268F8">
        <w:t>address how duplication of resources and services will be prevented;</w:t>
      </w:r>
    </w:p>
    <w:p w14:paraId="6EDFF257" w14:textId="77777777" w:rsidR="00EC047F" w:rsidRPr="005268F8" w:rsidRDefault="00EC047F" w:rsidP="00942D4B">
      <w:pPr>
        <w:pStyle w:val="ListParagraph"/>
        <w:numPr>
          <w:ilvl w:val="0"/>
          <w:numId w:val="43"/>
        </w:numPr>
        <w:jc w:val="both"/>
      </w:pPr>
      <w:r w:rsidRPr="005268F8">
        <w:t>establish limits on the amount and duration of these services; and</w:t>
      </w:r>
    </w:p>
    <w:p w14:paraId="2060EB7E" w14:textId="2BAA5E30" w:rsidR="00EC047F" w:rsidRDefault="00EC047F" w:rsidP="00942D4B">
      <w:pPr>
        <w:pStyle w:val="ListParagraph"/>
        <w:numPr>
          <w:ilvl w:val="0"/>
          <w:numId w:val="43"/>
        </w:numPr>
        <w:jc w:val="both"/>
      </w:pPr>
      <w:r w:rsidRPr="005268F8">
        <w:t xml:space="preserve">describe any exceptions to the limits on the amount or duration of supportive services. </w:t>
      </w:r>
    </w:p>
    <w:p w14:paraId="41EC1853" w14:textId="77777777" w:rsidR="00255E85" w:rsidRPr="005268F8" w:rsidRDefault="00255E85" w:rsidP="00942D4B">
      <w:pPr>
        <w:pStyle w:val="ListParagraph"/>
        <w:ind w:left="1440"/>
        <w:jc w:val="both"/>
      </w:pPr>
    </w:p>
    <w:p w14:paraId="50847F6E" w14:textId="6A4C81EB" w:rsidR="000D4169" w:rsidRPr="00255E85" w:rsidRDefault="00EC047F" w:rsidP="00942D4B">
      <w:pPr>
        <w:pStyle w:val="ListParagraph"/>
        <w:numPr>
          <w:ilvl w:val="0"/>
          <w:numId w:val="42"/>
        </w:numPr>
        <w:spacing w:line="228" w:lineRule="auto"/>
        <w:ind w:left="1080"/>
        <w:jc w:val="both"/>
        <w:rPr>
          <w:rFonts w:cstheme="minorHAnsi"/>
          <w:spacing w:val="-4"/>
        </w:rPr>
      </w:pPr>
      <w:r w:rsidRPr="000D333A">
        <w:t xml:space="preserve">To ensure the highest quality, most comprehensive service provision possible, supportive services funds may be utilized in coordination with career and training services provided by other partner programs and entities jointly responsible for workforce and economic development, educational, and other human resource programs.  For example, title I supportive services funds may be utilized when the cost of training is borne by a workforce partner if the partner entity does not have available funds for supportive services, and the supportive services are not otherwise available from other sources, as per </w:t>
      </w:r>
      <w:r w:rsidR="00B55EEA">
        <w:t>NEWDB</w:t>
      </w:r>
      <w:r w:rsidR="00B55EEA" w:rsidRPr="000D333A">
        <w:t xml:space="preserve"> </w:t>
      </w:r>
      <w:r w:rsidRPr="000D333A">
        <w:t>policy</w:t>
      </w:r>
      <w:r w:rsidR="00240D21" w:rsidRPr="000D333A">
        <w:t xml:space="preserve"> d</w:t>
      </w:r>
      <w:r w:rsidRPr="000D333A">
        <w:t xml:space="preserve">etails of the type(s) of supportive services provided to an individual, which entity provided the services, and why the services were necessary for the individual’s participation in career or training services must be documented in the Required Supportive Services section of the </w:t>
      </w:r>
      <w:r w:rsidR="00B268E2" w:rsidRPr="000D333A">
        <w:t>S</w:t>
      </w:r>
      <w:r w:rsidR="00E357FA" w:rsidRPr="000D333A">
        <w:t xml:space="preserve">ervice </w:t>
      </w:r>
      <w:r w:rsidR="00B268E2" w:rsidRPr="000D333A">
        <w:t>&amp;</w:t>
      </w:r>
      <w:r w:rsidR="00E357FA" w:rsidRPr="000D333A">
        <w:t xml:space="preserve"> </w:t>
      </w:r>
      <w:r w:rsidR="00B268E2" w:rsidRPr="000D333A">
        <w:t>T</w:t>
      </w:r>
      <w:r w:rsidR="00E357FA" w:rsidRPr="000D333A">
        <w:t>raining</w:t>
      </w:r>
      <w:r w:rsidR="00B268E2" w:rsidRPr="000D333A">
        <w:t xml:space="preserve"> </w:t>
      </w:r>
      <w:r w:rsidR="00E357FA" w:rsidRPr="000D333A">
        <w:t xml:space="preserve">screen </w:t>
      </w:r>
      <w:r w:rsidR="00B268E2" w:rsidRPr="000D333A">
        <w:t>with a detailed</w:t>
      </w:r>
      <w:r w:rsidRPr="000D333A">
        <w:t xml:space="preserve"> Program Note</w:t>
      </w:r>
      <w:r w:rsidR="00E357FA" w:rsidRPr="000D333A">
        <w:t xml:space="preserve"> (</w:t>
      </w:r>
      <w:r w:rsidR="00B268E2" w:rsidRPr="000D333A">
        <w:t>see</w:t>
      </w:r>
      <w:r w:rsidR="00E357FA" w:rsidRPr="000D333A">
        <w:t xml:space="preserve"> NEWDB</w:t>
      </w:r>
      <w:r w:rsidR="00B268E2" w:rsidRPr="000D333A">
        <w:t xml:space="preserve"> </w:t>
      </w:r>
      <w:r w:rsidR="00E357FA" w:rsidRPr="000D333A">
        <w:t>Supportive Services policy for a detailed description)</w:t>
      </w:r>
      <w:r w:rsidR="000D4169">
        <w:t>.</w:t>
      </w:r>
    </w:p>
    <w:p w14:paraId="14210B6F" w14:textId="77777777" w:rsidR="00255E85" w:rsidRPr="00255E85" w:rsidRDefault="00255E85" w:rsidP="00942D4B">
      <w:pPr>
        <w:pStyle w:val="ListParagraph"/>
        <w:spacing w:line="228" w:lineRule="auto"/>
        <w:ind w:left="1080"/>
        <w:jc w:val="both"/>
        <w:rPr>
          <w:rFonts w:cstheme="minorHAnsi"/>
          <w:spacing w:val="-4"/>
        </w:rPr>
      </w:pPr>
    </w:p>
    <w:p w14:paraId="5BDB64AC" w14:textId="161E2A34" w:rsidR="0079606A" w:rsidRPr="000D333A" w:rsidRDefault="009C1B9A" w:rsidP="00942D4B">
      <w:pPr>
        <w:pStyle w:val="Heading2"/>
        <w:numPr>
          <w:ilvl w:val="0"/>
          <w:numId w:val="0"/>
        </w:numPr>
        <w:jc w:val="both"/>
      </w:pPr>
      <w:bookmarkStart w:id="23" w:name="_Hlk528228322"/>
      <w:bookmarkStart w:id="24" w:name="_Hlk529192624"/>
      <w:r>
        <w:t>6.9</w:t>
      </w:r>
      <w:r>
        <w:tab/>
      </w:r>
      <w:r w:rsidR="00EC047F" w:rsidRPr="000D333A">
        <w:t>C</w:t>
      </w:r>
      <w:r w:rsidR="0079606A" w:rsidRPr="000D333A">
        <w:t xml:space="preserve">areer and Training Services Performance Accountability </w:t>
      </w:r>
    </w:p>
    <w:p w14:paraId="3666367D" w14:textId="138BB50B" w:rsidR="0079606A" w:rsidRDefault="0079606A" w:rsidP="00942D4B">
      <w:pPr>
        <w:ind w:left="720"/>
        <w:jc w:val="both"/>
        <w:rPr>
          <w:rFonts w:cstheme="minorHAnsi"/>
          <w:color w:val="FF0000"/>
        </w:rPr>
      </w:pPr>
      <w:r w:rsidRPr="00C11834">
        <w:rPr>
          <w:rFonts w:cstheme="minorHAnsi"/>
          <w:color w:val="000000"/>
        </w:rPr>
        <w:t xml:space="preserve">In order to align service delivery across the core WIOA programs and ensure a comprehensive </w:t>
      </w:r>
      <w:bookmarkEnd w:id="23"/>
      <w:r w:rsidRPr="00C11834">
        <w:rPr>
          <w:rFonts w:cstheme="minorHAnsi"/>
          <w:color w:val="000000"/>
        </w:rPr>
        <w:t xml:space="preserve">approach across all partners, core </w:t>
      </w:r>
      <w:r w:rsidRPr="00AA730E">
        <w:rPr>
          <w:rFonts w:cstheme="minorHAnsi"/>
          <w:color w:val="000000"/>
        </w:rPr>
        <w:t xml:space="preserve">performance </w:t>
      </w:r>
      <w:r w:rsidRPr="00164896">
        <w:rPr>
          <w:rFonts w:cstheme="minorHAnsi"/>
          <w:color w:val="000000"/>
        </w:rPr>
        <w:t>measures and reporting elements are described in</w:t>
      </w:r>
      <w:r w:rsidR="001418BB">
        <w:rPr>
          <w:rFonts w:cstheme="minorHAnsi"/>
          <w:color w:val="000000"/>
        </w:rPr>
        <w:t xml:space="preserve"> </w:t>
      </w:r>
      <w:r w:rsidR="00867022">
        <w:rPr>
          <w:rFonts w:cstheme="minorHAnsi"/>
          <w:color w:val="000000"/>
        </w:rPr>
        <w:t>the most current OOWD</w:t>
      </w:r>
      <w:r w:rsidR="00B265C5">
        <w:rPr>
          <w:rFonts w:cstheme="minorHAnsi"/>
          <w:color w:val="000000"/>
        </w:rPr>
        <w:t xml:space="preserve"> Core Performance Measure policy</w:t>
      </w:r>
      <w:r w:rsidR="00D25192">
        <w:rPr>
          <w:rFonts w:cstheme="minorHAnsi"/>
          <w:color w:val="000000"/>
        </w:rPr>
        <w:t xml:space="preserve">. The </w:t>
      </w:r>
      <w:r w:rsidRPr="00164896">
        <w:rPr>
          <w:rFonts w:cstheme="minorHAnsi"/>
          <w:color w:val="000000"/>
        </w:rPr>
        <w:t xml:space="preserve">guidance </w:t>
      </w:r>
      <w:r w:rsidR="00B265C5">
        <w:rPr>
          <w:rFonts w:cstheme="minorHAnsi"/>
          <w:color w:val="000000"/>
        </w:rPr>
        <w:t>is</w:t>
      </w:r>
      <w:r w:rsidR="001418BB">
        <w:rPr>
          <w:rFonts w:cstheme="minorHAnsi"/>
          <w:color w:val="000000"/>
        </w:rPr>
        <w:t xml:space="preserve"> </w:t>
      </w:r>
      <w:r w:rsidRPr="00164896">
        <w:rPr>
          <w:rFonts w:cstheme="minorHAnsi"/>
          <w:color w:val="000000"/>
        </w:rPr>
        <w:t xml:space="preserve">found at </w:t>
      </w:r>
      <w:hyperlink r:id="rId26" w:history="1">
        <w:r w:rsidRPr="00164896">
          <w:rPr>
            <w:rStyle w:val="Hyperlink"/>
            <w:rFonts w:cstheme="minorHAnsi"/>
          </w:rPr>
          <w:t>https://oklahomaworks.gov/local-workforce-boards/wioa-policy-center/</w:t>
        </w:r>
      </w:hyperlink>
      <w:r w:rsidRPr="00AA730E">
        <w:rPr>
          <w:rFonts w:cstheme="minorHAnsi"/>
          <w:color w:val="000000"/>
        </w:rPr>
        <w:t xml:space="preserve">. </w:t>
      </w:r>
    </w:p>
    <w:bookmarkEnd w:id="24"/>
    <w:p w14:paraId="4620EA3E" w14:textId="1BEBD26A" w:rsidR="00EC047F" w:rsidRDefault="0079606A" w:rsidP="00942D4B">
      <w:pPr>
        <w:pStyle w:val="ListParagraph"/>
        <w:numPr>
          <w:ilvl w:val="0"/>
          <w:numId w:val="44"/>
        </w:numPr>
        <w:jc w:val="both"/>
      </w:pPr>
      <w:r w:rsidRPr="009C1B9A">
        <w:rPr>
          <w:b/>
          <w:bCs/>
        </w:rPr>
        <w:t>Coor</w:t>
      </w:r>
      <w:r w:rsidR="00EC047F" w:rsidRPr="009C1B9A">
        <w:rPr>
          <w:b/>
          <w:bCs/>
        </w:rPr>
        <w:t>dination with Trade Adjustment Assistance (TAA)</w:t>
      </w:r>
      <w:r w:rsidR="00EC047F" w:rsidRPr="0099615B">
        <w:t>. The TAA program, coordinated by OES</w:t>
      </w:r>
      <w:r w:rsidR="00FA539A" w:rsidRPr="0099615B">
        <w:t xml:space="preserve">C </w:t>
      </w:r>
      <w:r w:rsidR="00EC047F" w:rsidRPr="0099615B">
        <w:t xml:space="preserve">staff, provides additional benefits for dislocated workers laid off by companies that are directly affected by increased imports or certain shifts of production to other countries.  Upon notification that USDOL has certified a business as “trade impacted”, individuals effected should contact the </w:t>
      </w:r>
      <w:r w:rsidR="00B55EEA">
        <w:t>NEWDA</w:t>
      </w:r>
      <w:r w:rsidR="00B55EEA" w:rsidRPr="0099615B">
        <w:t xml:space="preserve"> </w:t>
      </w:r>
      <w:r w:rsidR="00EC047F" w:rsidRPr="0099615B">
        <w:t xml:space="preserve">Oklahoma Works </w:t>
      </w:r>
      <w:r w:rsidR="00621D34">
        <w:t>AJC</w:t>
      </w:r>
      <w:r w:rsidR="00EC047F" w:rsidRPr="0099615B">
        <w:t xml:space="preserve"> for TAA information.  Co-enrollment (i.e., dual-enrollment) with WIOA is encouraged for workers certified as eligible for TAA (i.e., TAA-certified), and allows for the timely provision of individualized career services while improving the effectiveness of the TAA Program.  </w:t>
      </w:r>
    </w:p>
    <w:p w14:paraId="0576F72E" w14:textId="6CE26CF3" w:rsidR="00EC047F" w:rsidRDefault="00EC047F" w:rsidP="00942D4B">
      <w:pPr>
        <w:pStyle w:val="ListParagraph"/>
        <w:numPr>
          <w:ilvl w:val="0"/>
          <w:numId w:val="44"/>
        </w:numPr>
        <w:jc w:val="both"/>
      </w:pPr>
      <w:r w:rsidRPr="009C1B9A">
        <w:rPr>
          <w:b/>
          <w:bCs/>
        </w:rPr>
        <w:t>Rapid Respons</w:t>
      </w:r>
      <w:r w:rsidR="00FA539A" w:rsidRPr="009C1B9A">
        <w:rPr>
          <w:b/>
          <w:bCs/>
        </w:rPr>
        <w:t>e</w:t>
      </w:r>
      <w:r w:rsidRPr="009C1B9A">
        <w:rPr>
          <w:b/>
          <w:bCs/>
        </w:rPr>
        <w:t xml:space="preserve"> </w:t>
      </w:r>
      <w:r w:rsidRPr="009C1B9A">
        <w:rPr>
          <w:bCs/>
        </w:rPr>
        <w:t xml:space="preserve">The purpose of Rapid Response is to promote economic recovery and vitality by developing ongoing, comprehensive approaches </w:t>
      </w:r>
      <w:r w:rsidRPr="0099615B">
        <w:t>to identifying, planning for, or responding to layoffs and dislocations, and preventing or minimizing their impacts on workers, businesses, and communities.  Rapid Response encompasses the strategies and activities necessary to plan for and respond as quickly as possible following an announcement of a closure or layoff, or to a natural or other disaster which results in mass job loss.  Rapid Response delivers services to enable dislocated workers to transition to new employment as quickly as possible.  Oklahoma’s Rapid Response Activities and Layoff Aversion policy may be found in</w:t>
      </w:r>
      <w:r w:rsidR="00B265C5">
        <w:t xml:space="preserve"> at</w:t>
      </w:r>
      <w:r w:rsidR="00B265C5" w:rsidRPr="00B265C5">
        <w:t xml:space="preserve"> </w:t>
      </w:r>
      <w:r w:rsidR="00B265C5" w:rsidRPr="009C1B9A">
        <w:rPr>
          <w:color w:val="0070C0"/>
          <w:u w:val="single"/>
        </w:rPr>
        <w:t>https://oklahomaworks.gov/wp-content/uploads/2019/07/OWDI-14-2017-Change-1-Rapid-Response-Activities-and-Layoff-Aversion.pdf</w:t>
      </w:r>
      <w:r w:rsidRPr="0099615B">
        <w:t>.</w:t>
      </w:r>
    </w:p>
    <w:p w14:paraId="375082F2" w14:textId="77777777" w:rsidR="008F0AC5" w:rsidRPr="0099615B" w:rsidRDefault="008F0AC5" w:rsidP="00942D4B">
      <w:pPr>
        <w:pStyle w:val="ListParagraph"/>
        <w:autoSpaceDE w:val="0"/>
        <w:autoSpaceDN w:val="0"/>
        <w:adjustRightInd w:val="0"/>
        <w:jc w:val="both"/>
        <w:rPr>
          <w:rFonts w:cstheme="minorHAnsi"/>
          <w:color w:val="000000"/>
        </w:rPr>
      </w:pPr>
    </w:p>
    <w:p w14:paraId="163CBFA8" w14:textId="3C636B95" w:rsidR="00E357FA" w:rsidRPr="000D333A" w:rsidRDefault="000D4169" w:rsidP="00942D4B">
      <w:pPr>
        <w:pStyle w:val="Heading1"/>
        <w:numPr>
          <w:ilvl w:val="0"/>
          <w:numId w:val="0"/>
        </w:numPr>
        <w:jc w:val="both"/>
        <w:rPr>
          <w:color w:val="000000"/>
        </w:rPr>
      </w:pPr>
      <w:r>
        <w:lastRenderedPageBreak/>
        <w:t xml:space="preserve">VII. </w:t>
      </w:r>
      <w:r w:rsidR="00E357FA" w:rsidRPr="000D333A">
        <w:t xml:space="preserve">EQUAL OPPORTUNITY AND NONDISCRIMINATION STATEMENT: </w:t>
      </w:r>
      <w:r w:rsidR="00E357FA" w:rsidRPr="000D333A">
        <w:rPr>
          <w:color w:val="000000"/>
        </w:rPr>
        <w:t xml:space="preserve"> </w:t>
      </w:r>
    </w:p>
    <w:p w14:paraId="167719A6" w14:textId="2A947628" w:rsidR="00E357FA" w:rsidRDefault="00E357FA" w:rsidP="00942D4B">
      <w:pPr>
        <w:jc w:val="both"/>
      </w:pPr>
      <w:r w:rsidRPr="0046775A">
        <w:t>All Recipients, and Sub recipients/Sub grantees must comply with WIOA’s Equal Opportunity and Nondiscrimination provisions which prohibit discrimination on the basis of race, color, religion, sex (including pregnancy, childbirth, and related medical conditions, transgender status, and gender identity), national origin (including limited English proficiency), age, disability, politic</w:t>
      </w:r>
      <w:r w:rsidRPr="007E1625">
        <w:t>al affiliation or belief, or, for beneficiaries, applicants, and participants only, on the basis of citizenship status or participation in a WIOA Title-I financially assisted program or activity.</w:t>
      </w:r>
    </w:p>
    <w:p w14:paraId="655FFBF9" w14:textId="77777777" w:rsidR="00E72AC7" w:rsidRPr="001020B8" w:rsidRDefault="00E72AC7" w:rsidP="00942D4B">
      <w:pPr>
        <w:pStyle w:val="Heading1"/>
        <w:numPr>
          <w:ilvl w:val="0"/>
          <w:numId w:val="0"/>
        </w:numPr>
        <w:jc w:val="both"/>
        <w:rPr>
          <w:rFonts w:eastAsia="Times New Roman"/>
        </w:rPr>
      </w:pPr>
      <w:bookmarkStart w:id="25" w:name="_Hlk13732051"/>
      <w:r>
        <w:rPr>
          <w:rFonts w:cs="Calibri"/>
        </w:rPr>
        <w:t xml:space="preserve">VIII. </w:t>
      </w:r>
      <w:r w:rsidRPr="001020B8">
        <w:rPr>
          <w:rFonts w:eastAsia="Times New Roman"/>
        </w:rPr>
        <w:t xml:space="preserve">POLICY ADDITIONS AND CLARIFICATIONS:  </w:t>
      </w:r>
    </w:p>
    <w:p w14:paraId="2E525F84" w14:textId="77777777" w:rsidR="00E72AC7" w:rsidRPr="001020B8" w:rsidRDefault="00E72AC7" w:rsidP="00942D4B">
      <w:pPr>
        <w:jc w:val="both"/>
      </w:pPr>
      <w:r w:rsidRPr="001020B8">
        <w:t>The NEWDB Executive Director is authorized to issue additional instructions, guidance, approvals, forms, etc. to further implement the requirements of this policy.</w:t>
      </w:r>
    </w:p>
    <w:bookmarkEnd w:id="25"/>
    <w:p w14:paraId="5CF21A78" w14:textId="77777777" w:rsidR="00E72AC7" w:rsidRDefault="00E72AC7" w:rsidP="009C1B9A">
      <w:pPr>
        <w:pStyle w:val="Heading1"/>
        <w:numPr>
          <w:ilvl w:val="0"/>
          <w:numId w:val="0"/>
        </w:numPr>
      </w:pPr>
      <w:r>
        <w:t xml:space="preserve">IX. </w:t>
      </w:r>
      <w:r w:rsidRPr="00502E3B">
        <w:t>ATTACHMENTS</w:t>
      </w:r>
    </w:p>
    <w:p w14:paraId="1F7B7085" w14:textId="77777777" w:rsidR="009C1B9A" w:rsidRDefault="00E72AC7" w:rsidP="00594BD4">
      <w:pPr>
        <w:pStyle w:val="ListParagraph"/>
        <w:numPr>
          <w:ilvl w:val="0"/>
          <w:numId w:val="45"/>
        </w:numPr>
      </w:pPr>
      <w:r>
        <w:t xml:space="preserve">Attachment A: </w:t>
      </w:r>
      <w:r w:rsidR="00423C10">
        <w:t xml:space="preserve">Adult and Dislocated Worker </w:t>
      </w:r>
      <w:r>
        <w:t>Elig</w:t>
      </w:r>
      <w:r w:rsidR="00423C10">
        <w:t>ibility Form</w:t>
      </w:r>
    </w:p>
    <w:p w14:paraId="749F1C20" w14:textId="255A97BA" w:rsidR="00423C10" w:rsidRDefault="00423C10" w:rsidP="00594BD4">
      <w:pPr>
        <w:pStyle w:val="ListParagraph"/>
        <w:numPr>
          <w:ilvl w:val="0"/>
          <w:numId w:val="45"/>
        </w:numPr>
      </w:pPr>
      <w:r>
        <w:t>Attachment B: Personal Budget Form</w:t>
      </w:r>
    </w:p>
    <w:p w14:paraId="1C275C02" w14:textId="2D0177BE" w:rsidR="00486E2B" w:rsidRDefault="00486E2B" w:rsidP="00E72AC7">
      <w:pPr>
        <w:spacing w:after="0"/>
        <w:ind w:left="360"/>
        <w:rPr>
          <w:rFonts w:cstheme="minorHAnsi"/>
        </w:rPr>
      </w:pPr>
    </w:p>
    <w:p w14:paraId="2D9B9A20" w14:textId="4401B5A5" w:rsidR="00164896" w:rsidRDefault="00164896" w:rsidP="002640BA">
      <w:pPr>
        <w:spacing w:before="120" w:after="120" w:line="240" w:lineRule="auto"/>
        <w:jc w:val="both"/>
        <w:outlineLvl w:val="0"/>
        <w:rPr>
          <w:rFonts w:ascii="Calibri" w:eastAsia="Times New Roman" w:hAnsi="Calibri" w:cs="Times New Roman"/>
        </w:rPr>
      </w:pPr>
      <w:r w:rsidRPr="00F53FEE">
        <w:rPr>
          <w:rFonts w:ascii="Calibri" w:eastAsia="Times New Roman" w:hAnsi="Calibri" w:cs="Calibri"/>
          <w:b/>
        </w:rPr>
        <w:t>Approved by:</w:t>
      </w:r>
      <w:r w:rsidR="002640BA">
        <w:rPr>
          <w:rFonts w:ascii="Calibri" w:eastAsia="Times New Roman" w:hAnsi="Calibri" w:cs="Calibri"/>
          <w:b/>
        </w:rPr>
        <w:t xml:space="preserve"> </w:t>
      </w:r>
      <w:r w:rsidR="002640BA" w:rsidRPr="00416589">
        <w:rPr>
          <w:rFonts w:ascii="Calibri" w:eastAsia="Times New Roman" w:hAnsi="Calibri" w:cs="Calibri"/>
          <w:b/>
          <w:bCs/>
        </w:rPr>
        <w:t>Northeast Workforce Development Board</w:t>
      </w:r>
      <w:r w:rsidR="002640BA">
        <w:rPr>
          <w:rFonts w:ascii="Calibri" w:eastAsia="Times New Roman" w:hAnsi="Calibri" w:cs="Calibri"/>
          <w:b/>
          <w:bCs/>
        </w:rPr>
        <w:t>, 2/</w:t>
      </w:r>
      <w:r w:rsidR="00CB6E98">
        <w:rPr>
          <w:rFonts w:ascii="Calibri" w:eastAsia="Times New Roman" w:hAnsi="Calibri" w:cs="Calibri"/>
          <w:b/>
          <w:bCs/>
        </w:rPr>
        <w:t>1</w:t>
      </w:r>
      <w:r w:rsidR="002640BA">
        <w:rPr>
          <w:rFonts w:ascii="Calibri" w:eastAsia="Times New Roman" w:hAnsi="Calibri" w:cs="Calibri"/>
          <w:b/>
          <w:bCs/>
        </w:rPr>
        <w:t>2/20</w:t>
      </w:r>
      <w:r w:rsidR="00CB6E98">
        <w:rPr>
          <w:rFonts w:ascii="Calibri" w:eastAsia="Times New Roman" w:hAnsi="Calibri" w:cs="Calibri"/>
          <w:b/>
          <w:bCs/>
        </w:rPr>
        <w:t>20</w:t>
      </w:r>
    </w:p>
    <w:p w14:paraId="2C5B84A6" w14:textId="4DFC98DD" w:rsidR="00486E2B" w:rsidRDefault="00486E2B" w:rsidP="00E357FA">
      <w:pPr>
        <w:ind w:left="360"/>
        <w:rPr>
          <w:rFonts w:cstheme="minorHAnsi"/>
        </w:rPr>
      </w:pPr>
    </w:p>
    <w:p w14:paraId="2ED06244" w14:textId="2C991AEB" w:rsidR="00B55EEA" w:rsidRDefault="00B55EEA" w:rsidP="00164896">
      <w:pPr>
        <w:rPr>
          <w:rFonts w:cstheme="minorHAnsi"/>
        </w:rPr>
      </w:pPr>
    </w:p>
    <w:p w14:paraId="08AA7B6C" w14:textId="0F4D8DBE" w:rsidR="00B55EEA" w:rsidRDefault="00B55EEA" w:rsidP="00164896">
      <w:pPr>
        <w:rPr>
          <w:rFonts w:cstheme="minorHAnsi"/>
        </w:rPr>
      </w:pPr>
    </w:p>
    <w:p w14:paraId="2D436BA5" w14:textId="0E856692" w:rsidR="00B55EEA" w:rsidRDefault="00B55EEA" w:rsidP="00164896">
      <w:pPr>
        <w:rPr>
          <w:rFonts w:cstheme="minorHAnsi"/>
        </w:rPr>
      </w:pPr>
    </w:p>
    <w:p w14:paraId="45D1363E" w14:textId="77777777" w:rsidR="008C4013" w:rsidRDefault="008C4013" w:rsidP="00164896">
      <w:pPr>
        <w:rPr>
          <w:rFonts w:cstheme="minorHAnsi"/>
        </w:rPr>
        <w:sectPr w:rsidR="008C4013" w:rsidSect="002C3774">
          <w:pgSz w:w="12240" w:h="15840"/>
          <w:pgMar w:top="1440" w:right="1440" w:bottom="1440" w:left="1440" w:header="432" w:footer="144" w:gutter="0"/>
          <w:cols w:space="720"/>
          <w:titlePg/>
          <w:docGrid w:linePitch="360"/>
        </w:sectPr>
      </w:pPr>
    </w:p>
    <w:p w14:paraId="2B3E7177" w14:textId="36647AF6" w:rsidR="00E129FC" w:rsidRPr="00E656E2" w:rsidRDefault="00734172" w:rsidP="00E656E2">
      <w:pPr>
        <w:pStyle w:val="Title"/>
        <w:jc w:val="center"/>
        <w:rPr>
          <w:rFonts w:eastAsia="Times New Roman" w:cs="Times New Roman"/>
          <w:sz w:val="32"/>
          <w:szCs w:val="32"/>
        </w:rPr>
      </w:pPr>
      <w:bookmarkStart w:id="26" w:name="_Hlk33438008"/>
      <w:r w:rsidRPr="00E656E2">
        <w:rPr>
          <w:sz w:val="32"/>
          <w:szCs w:val="32"/>
        </w:rPr>
        <w:lastRenderedPageBreak/>
        <w:t xml:space="preserve">Adult and Dislocated Worker </w:t>
      </w:r>
      <w:r w:rsidR="009C1B9A" w:rsidRPr="00E656E2">
        <w:rPr>
          <w:sz w:val="32"/>
          <w:szCs w:val="32"/>
        </w:rPr>
        <w:t>Forms</w:t>
      </w:r>
      <w:r w:rsidR="00E656E2">
        <w:rPr>
          <w:sz w:val="32"/>
          <w:szCs w:val="32"/>
        </w:rPr>
        <w:t xml:space="preserve"> Cover Page</w:t>
      </w:r>
    </w:p>
    <w:bookmarkEnd w:id="26"/>
    <w:p w14:paraId="5B9DBE82" w14:textId="77777777" w:rsidR="00E129FC" w:rsidRDefault="00E129FC" w:rsidP="00E129FC">
      <w:pPr>
        <w:kinsoku w:val="0"/>
        <w:overflowPunct w:val="0"/>
        <w:autoSpaceDE w:val="0"/>
        <w:autoSpaceDN w:val="0"/>
        <w:adjustRightInd w:val="0"/>
        <w:spacing w:before="67" w:after="0" w:line="240" w:lineRule="auto"/>
        <w:ind w:left="39"/>
        <w:jc w:val="center"/>
        <w:rPr>
          <w:rFonts w:ascii="Calibri" w:eastAsia="Times New Roman" w:hAnsi="Calibri" w:cs="Times New Roman"/>
          <w:b/>
        </w:rPr>
      </w:pPr>
    </w:p>
    <w:p w14:paraId="7C401EDD" w14:textId="77777777" w:rsidR="009C1B9A" w:rsidRPr="009C1B9A" w:rsidRDefault="009C1B9A" w:rsidP="009C1B9A">
      <w:pPr>
        <w:spacing w:after="0" w:line="256" w:lineRule="auto"/>
        <w:ind w:left="720"/>
        <w:rPr>
          <w:rStyle w:val="Emphasis"/>
        </w:rPr>
      </w:pPr>
      <w:r w:rsidRPr="009C1B9A">
        <w:rPr>
          <w:rStyle w:val="Emphasis"/>
          <w:b/>
          <w:bCs/>
        </w:rPr>
        <w:t>BABEL NOTICE:</w:t>
      </w:r>
      <w:r w:rsidRPr="009C1B9A">
        <w:rPr>
          <w:rStyle w:val="Emphasis"/>
        </w:rPr>
        <w:t xml:space="preserve"> (29CFR 38.9(g)(3)): This document contains vital service information.  If English is not your preferred language, please contact:</w:t>
      </w:r>
    </w:p>
    <w:p w14:paraId="42ED0D2E" w14:textId="77777777" w:rsidR="009C1B9A" w:rsidRPr="009C1B9A" w:rsidRDefault="009C1B9A" w:rsidP="009C1B9A">
      <w:pPr>
        <w:spacing w:after="0" w:line="256" w:lineRule="auto"/>
        <w:ind w:left="720"/>
        <w:rPr>
          <w:rStyle w:val="Emphasis"/>
        </w:rPr>
      </w:pPr>
    </w:p>
    <w:p w14:paraId="1B1F7228" w14:textId="77777777" w:rsidR="009C1B9A" w:rsidRPr="009C1B9A" w:rsidRDefault="009C1B9A" w:rsidP="009C1B9A">
      <w:pPr>
        <w:spacing w:after="0" w:line="256" w:lineRule="auto"/>
        <w:ind w:left="720"/>
        <w:rPr>
          <w:rStyle w:val="Emphasis"/>
        </w:rPr>
      </w:pPr>
      <w:r w:rsidRPr="009C1B9A">
        <w:rPr>
          <w:rStyle w:val="Emphasis"/>
        </w:rPr>
        <w:t>Northeast Workforce Development Board</w:t>
      </w:r>
      <w:r w:rsidRPr="009C1B9A">
        <w:rPr>
          <w:rStyle w:val="Emphasis"/>
        </w:rPr>
        <w:tab/>
      </w:r>
      <w:r w:rsidRPr="009C1B9A">
        <w:rPr>
          <w:rStyle w:val="Emphasis"/>
        </w:rPr>
        <w:tab/>
      </w:r>
    </w:p>
    <w:p w14:paraId="206B3735" w14:textId="0676E06B" w:rsidR="009C1B9A" w:rsidRPr="009C1B9A" w:rsidRDefault="00CB6E98" w:rsidP="009C1B9A">
      <w:pPr>
        <w:spacing w:after="0" w:line="256" w:lineRule="auto"/>
        <w:ind w:left="720"/>
        <w:rPr>
          <w:rStyle w:val="Emphasis"/>
        </w:rPr>
      </w:pPr>
      <w:r>
        <w:rPr>
          <w:rStyle w:val="Emphasis"/>
        </w:rPr>
        <w:t>Jeremy Frutchey</w:t>
      </w:r>
      <w:r w:rsidR="009C1B9A" w:rsidRPr="009C1B9A">
        <w:rPr>
          <w:rStyle w:val="Emphasis"/>
        </w:rPr>
        <w:t>, EO Officer</w:t>
      </w:r>
      <w:r w:rsidR="009C1B9A" w:rsidRPr="009C1B9A">
        <w:rPr>
          <w:rStyle w:val="Emphasis"/>
        </w:rPr>
        <w:tab/>
      </w:r>
      <w:r w:rsidR="009C1B9A" w:rsidRPr="009C1B9A">
        <w:rPr>
          <w:rStyle w:val="Emphasis"/>
        </w:rPr>
        <w:tab/>
      </w:r>
      <w:r w:rsidR="009C1B9A" w:rsidRPr="009C1B9A">
        <w:rPr>
          <w:rStyle w:val="Emphasis"/>
        </w:rPr>
        <w:tab/>
      </w:r>
      <w:r w:rsidR="009C1B9A" w:rsidRPr="009C1B9A">
        <w:rPr>
          <w:rStyle w:val="Emphasis"/>
        </w:rPr>
        <w:tab/>
      </w:r>
    </w:p>
    <w:p w14:paraId="4C31BB74" w14:textId="77777777" w:rsidR="009C1B9A" w:rsidRPr="009C1B9A" w:rsidRDefault="009C1B9A" w:rsidP="009C1B9A">
      <w:pPr>
        <w:spacing w:after="0" w:line="256" w:lineRule="auto"/>
        <w:ind w:left="720"/>
        <w:rPr>
          <w:rStyle w:val="Emphasis"/>
        </w:rPr>
      </w:pPr>
      <w:r w:rsidRPr="009C1B9A">
        <w:rPr>
          <w:rStyle w:val="Emphasis"/>
        </w:rPr>
        <w:t>1503 N Lynn Riggs Blvd, Ste. D</w:t>
      </w:r>
      <w:r w:rsidRPr="009C1B9A">
        <w:rPr>
          <w:rStyle w:val="Emphasis"/>
        </w:rPr>
        <w:tab/>
      </w:r>
      <w:r w:rsidRPr="009C1B9A">
        <w:rPr>
          <w:rStyle w:val="Emphasis"/>
        </w:rPr>
        <w:tab/>
      </w:r>
      <w:r w:rsidRPr="009C1B9A">
        <w:rPr>
          <w:rStyle w:val="Emphasis"/>
        </w:rPr>
        <w:tab/>
      </w:r>
      <w:r w:rsidRPr="009C1B9A">
        <w:rPr>
          <w:rStyle w:val="Emphasis"/>
        </w:rPr>
        <w:tab/>
      </w:r>
    </w:p>
    <w:p w14:paraId="2AF12AC2" w14:textId="77777777" w:rsidR="009C1B9A" w:rsidRPr="009C1B9A" w:rsidRDefault="009C1B9A" w:rsidP="009C1B9A">
      <w:pPr>
        <w:spacing w:after="0" w:line="256" w:lineRule="auto"/>
        <w:ind w:left="720"/>
        <w:rPr>
          <w:rStyle w:val="Emphasis"/>
        </w:rPr>
      </w:pPr>
      <w:r w:rsidRPr="009C1B9A">
        <w:rPr>
          <w:rStyle w:val="Emphasis"/>
        </w:rPr>
        <w:t>Claremore, OK 74017</w:t>
      </w:r>
      <w:r w:rsidRPr="009C1B9A">
        <w:rPr>
          <w:rStyle w:val="Emphasis"/>
        </w:rPr>
        <w:tab/>
      </w:r>
      <w:r w:rsidRPr="009C1B9A">
        <w:rPr>
          <w:rStyle w:val="Emphasis"/>
        </w:rPr>
        <w:tab/>
      </w:r>
      <w:r w:rsidRPr="009C1B9A">
        <w:rPr>
          <w:rStyle w:val="Emphasis"/>
        </w:rPr>
        <w:tab/>
      </w:r>
      <w:r w:rsidRPr="009C1B9A">
        <w:rPr>
          <w:rStyle w:val="Emphasis"/>
        </w:rPr>
        <w:tab/>
      </w:r>
      <w:r w:rsidRPr="009C1B9A">
        <w:rPr>
          <w:rStyle w:val="Emphasis"/>
        </w:rPr>
        <w:tab/>
      </w:r>
    </w:p>
    <w:p w14:paraId="0102113F" w14:textId="4DAC374E" w:rsidR="009C1B9A" w:rsidRPr="009C1B9A" w:rsidRDefault="009C1B9A" w:rsidP="009C1B9A">
      <w:pPr>
        <w:spacing w:after="0" w:line="256" w:lineRule="auto"/>
        <w:ind w:left="720"/>
        <w:rPr>
          <w:rStyle w:val="Emphasis"/>
        </w:rPr>
      </w:pPr>
      <w:r w:rsidRPr="009C1B9A">
        <w:rPr>
          <w:rStyle w:val="Emphasis"/>
        </w:rPr>
        <w:t xml:space="preserve">Cell: </w:t>
      </w:r>
      <w:r w:rsidR="00CB6E98">
        <w:rPr>
          <w:rStyle w:val="Emphasis"/>
        </w:rPr>
        <w:t>405.269.2821</w:t>
      </w:r>
      <w:r w:rsidRPr="009C1B9A">
        <w:rPr>
          <w:rStyle w:val="Emphasis"/>
        </w:rPr>
        <w:tab/>
      </w:r>
      <w:r w:rsidRPr="009C1B9A">
        <w:rPr>
          <w:rStyle w:val="Emphasis"/>
        </w:rPr>
        <w:tab/>
      </w:r>
    </w:p>
    <w:p w14:paraId="3F56D45B" w14:textId="77777777" w:rsidR="00CB6E98" w:rsidRDefault="009C1B9A" w:rsidP="009C1B9A">
      <w:pPr>
        <w:spacing w:after="0" w:line="256" w:lineRule="auto"/>
        <w:ind w:left="720"/>
        <w:rPr>
          <w:rStyle w:val="Emphasis"/>
        </w:rPr>
      </w:pPr>
      <w:r w:rsidRPr="009C1B9A">
        <w:rPr>
          <w:rStyle w:val="Emphasis"/>
        </w:rPr>
        <w:t xml:space="preserve">Email: </w:t>
      </w:r>
    </w:p>
    <w:p w14:paraId="475C5D47" w14:textId="03B484C9" w:rsidR="009C1B9A" w:rsidRPr="009C1B9A" w:rsidRDefault="0071381B" w:rsidP="009C1B9A">
      <w:pPr>
        <w:spacing w:after="0" w:line="256" w:lineRule="auto"/>
        <w:ind w:left="720"/>
        <w:rPr>
          <w:rStyle w:val="Emphasis"/>
        </w:rPr>
      </w:pPr>
      <w:hyperlink r:id="rId27" w:history="1">
        <w:r w:rsidR="00CB6E98" w:rsidRPr="00F52FE1">
          <w:rPr>
            <w:rStyle w:val="Hyperlink"/>
          </w:rPr>
          <w:t>jeremy.frutchey@northeastworkforceboard.com</w:t>
        </w:r>
      </w:hyperlink>
    </w:p>
    <w:p w14:paraId="3D7339E5" w14:textId="77777777" w:rsidR="009C1B9A" w:rsidRPr="009C1B9A" w:rsidRDefault="009C1B9A" w:rsidP="009C1B9A">
      <w:pPr>
        <w:spacing w:after="0" w:line="256" w:lineRule="auto"/>
        <w:ind w:left="720"/>
        <w:rPr>
          <w:rStyle w:val="Emphasis"/>
        </w:rPr>
      </w:pPr>
    </w:p>
    <w:p w14:paraId="0880E7FA" w14:textId="77777777" w:rsidR="009C1B9A" w:rsidRPr="009C1B9A" w:rsidRDefault="009C1B9A" w:rsidP="009C1B9A">
      <w:pPr>
        <w:spacing w:after="0" w:line="256" w:lineRule="auto"/>
        <w:ind w:left="720"/>
        <w:rPr>
          <w:rStyle w:val="Emphasis"/>
        </w:rPr>
      </w:pPr>
      <w:r w:rsidRPr="009C1B9A">
        <w:rPr>
          <w:rStyle w:val="Emphasis"/>
        </w:rPr>
        <w:t>or,</w:t>
      </w:r>
      <w:r w:rsidRPr="009C1B9A">
        <w:rPr>
          <w:rStyle w:val="Emphasis"/>
        </w:rPr>
        <w:tab/>
      </w:r>
      <w:r w:rsidRPr="009C1B9A">
        <w:rPr>
          <w:rStyle w:val="Emphasis"/>
        </w:rPr>
        <w:tab/>
      </w:r>
    </w:p>
    <w:p w14:paraId="545016DE" w14:textId="77777777" w:rsidR="009C1B9A" w:rsidRPr="009C1B9A" w:rsidRDefault="009C1B9A" w:rsidP="009C1B9A">
      <w:pPr>
        <w:spacing w:after="0" w:line="240" w:lineRule="auto"/>
        <w:ind w:left="720"/>
        <w:rPr>
          <w:rStyle w:val="Emphasis"/>
        </w:rPr>
      </w:pPr>
    </w:p>
    <w:p w14:paraId="1F8A3391" w14:textId="77777777" w:rsidR="009C1B9A" w:rsidRPr="009C1B9A" w:rsidRDefault="009C1B9A" w:rsidP="009C1B9A">
      <w:pPr>
        <w:spacing w:after="0" w:line="240" w:lineRule="auto"/>
        <w:ind w:left="720"/>
        <w:rPr>
          <w:rStyle w:val="Emphasis"/>
        </w:rPr>
      </w:pPr>
      <w:r w:rsidRPr="009C1B9A">
        <w:rPr>
          <w:rStyle w:val="Emphasis"/>
        </w:rPr>
        <w:t>State Equal Opportunity Officer</w:t>
      </w:r>
    </w:p>
    <w:p w14:paraId="13E91141" w14:textId="77777777" w:rsidR="009C1B9A" w:rsidRPr="009C1B9A" w:rsidRDefault="009C1B9A" w:rsidP="009C1B9A">
      <w:pPr>
        <w:spacing w:after="0" w:line="240" w:lineRule="auto"/>
        <w:ind w:left="720"/>
        <w:rPr>
          <w:rStyle w:val="Emphasis"/>
        </w:rPr>
      </w:pPr>
      <w:r w:rsidRPr="009C1B9A">
        <w:rPr>
          <w:rStyle w:val="Emphasis"/>
        </w:rPr>
        <w:t>Oklahoma Office of Workforce Development</w:t>
      </w:r>
    </w:p>
    <w:p w14:paraId="6F479A57" w14:textId="77777777" w:rsidR="009C1B9A" w:rsidRPr="009C1B9A" w:rsidRDefault="009C1B9A" w:rsidP="009C1B9A">
      <w:pPr>
        <w:spacing w:after="0" w:line="240" w:lineRule="auto"/>
        <w:ind w:left="720"/>
        <w:rPr>
          <w:rStyle w:val="Emphasis"/>
        </w:rPr>
      </w:pPr>
      <w:r w:rsidRPr="009C1B9A">
        <w:rPr>
          <w:rStyle w:val="Emphasis"/>
        </w:rPr>
        <w:t>Ferris Barger</w:t>
      </w:r>
    </w:p>
    <w:p w14:paraId="28F8F07F" w14:textId="77777777" w:rsidR="009C1B9A" w:rsidRPr="009C1B9A" w:rsidRDefault="009C1B9A" w:rsidP="009C1B9A">
      <w:pPr>
        <w:spacing w:after="0" w:line="240" w:lineRule="auto"/>
        <w:ind w:left="720"/>
        <w:rPr>
          <w:rStyle w:val="Emphasis"/>
        </w:rPr>
      </w:pPr>
      <w:r w:rsidRPr="009C1B9A">
        <w:rPr>
          <w:rStyle w:val="Emphasis"/>
        </w:rPr>
        <w:t>900 N Portland Avenue, BT 300</w:t>
      </w:r>
    </w:p>
    <w:p w14:paraId="712EF966" w14:textId="77777777" w:rsidR="009C1B9A" w:rsidRPr="009C1B9A" w:rsidRDefault="009C1B9A" w:rsidP="009C1B9A">
      <w:pPr>
        <w:spacing w:after="0" w:line="240" w:lineRule="auto"/>
        <w:ind w:left="720"/>
        <w:rPr>
          <w:rStyle w:val="Emphasis"/>
        </w:rPr>
      </w:pPr>
      <w:r w:rsidRPr="009C1B9A">
        <w:rPr>
          <w:rStyle w:val="Emphasis"/>
        </w:rPr>
        <w:t>Oklahoma City, OK 73107</w:t>
      </w:r>
    </w:p>
    <w:p w14:paraId="32229FEA" w14:textId="77777777" w:rsidR="009C1B9A" w:rsidRPr="009C1B9A" w:rsidRDefault="009C1B9A" w:rsidP="009C1B9A">
      <w:pPr>
        <w:spacing w:after="0" w:line="240" w:lineRule="auto"/>
        <w:ind w:left="720"/>
        <w:rPr>
          <w:rStyle w:val="Emphasis"/>
        </w:rPr>
      </w:pPr>
      <w:r w:rsidRPr="009C1B9A">
        <w:rPr>
          <w:rStyle w:val="Emphasis"/>
        </w:rPr>
        <w:t>Office: 405.208.2519</w:t>
      </w:r>
    </w:p>
    <w:p w14:paraId="755D902C" w14:textId="77777777" w:rsidR="009C1B9A" w:rsidRPr="009C1B9A" w:rsidRDefault="009C1B9A" w:rsidP="009C1B9A">
      <w:pPr>
        <w:spacing w:after="0" w:line="240" w:lineRule="auto"/>
        <w:ind w:left="720"/>
        <w:rPr>
          <w:rStyle w:val="Emphasis"/>
        </w:rPr>
      </w:pPr>
      <w:r w:rsidRPr="009C1B9A">
        <w:rPr>
          <w:rStyle w:val="Emphasis"/>
        </w:rPr>
        <w:t xml:space="preserve">Email: </w:t>
      </w:r>
      <w:hyperlink r:id="rId28" w:history="1">
        <w:r w:rsidRPr="009C1B9A">
          <w:rPr>
            <w:rStyle w:val="Emphasis"/>
          </w:rPr>
          <w:t>Ferris.barger@okcommerce.gov</w:t>
        </w:r>
      </w:hyperlink>
    </w:p>
    <w:p w14:paraId="2170E2B8" w14:textId="77777777" w:rsidR="009C1B9A" w:rsidRPr="009C1B9A" w:rsidRDefault="009C1B9A" w:rsidP="009C1B9A">
      <w:pPr>
        <w:autoSpaceDE w:val="0"/>
        <w:autoSpaceDN w:val="0"/>
        <w:adjustRightInd w:val="0"/>
        <w:spacing w:after="0" w:line="240" w:lineRule="auto"/>
        <w:ind w:left="720"/>
        <w:jc w:val="both"/>
        <w:rPr>
          <w:rStyle w:val="Emphasis"/>
        </w:rPr>
      </w:pPr>
      <w:r w:rsidRPr="009C1B9A">
        <w:rPr>
          <w:rStyle w:val="Emphasis"/>
        </w:rPr>
        <w:tab/>
      </w:r>
      <w:r w:rsidRPr="009C1B9A">
        <w:rPr>
          <w:rStyle w:val="Emphasis"/>
        </w:rPr>
        <w:tab/>
      </w:r>
      <w:r w:rsidRPr="009C1B9A">
        <w:rPr>
          <w:rStyle w:val="Emphasis"/>
        </w:rPr>
        <w:tab/>
      </w:r>
      <w:r w:rsidRPr="009C1B9A">
        <w:rPr>
          <w:rStyle w:val="Emphasis"/>
        </w:rPr>
        <w:tab/>
      </w:r>
      <w:r w:rsidRPr="009C1B9A">
        <w:rPr>
          <w:rStyle w:val="Emphasis"/>
        </w:rPr>
        <w:tab/>
      </w:r>
      <w:r w:rsidRPr="009C1B9A">
        <w:rPr>
          <w:rStyle w:val="Emphasis"/>
        </w:rPr>
        <w:tab/>
      </w:r>
      <w:r w:rsidRPr="009C1B9A">
        <w:rPr>
          <w:rStyle w:val="Emphasis"/>
        </w:rPr>
        <w:tab/>
        <w:t xml:space="preserve">            </w:t>
      </w:r>
      <w:hyperlink r:id="rId29" w:history="1"/>
      <w:r w:rsidRPr="009C1B9A">
        <w:rPr>
          <w:rStyle w:val="Emphasis"/>
        </w:rPr>
        <w:tab/>
      </w:r>
      <w:r w:rsidRPr="009C1B9A">
        <w:rPr>
          <w:rStyle w:val="Emphasis"/>
        </w:rPr>
        <w:tab/>
      </w:r>
      <w:r w:rsidRPr="009C1B9A">
        <w:rPr>
          <w:rStyle w:val="Emphasis"/>
        </w:rPr>
        <w:tab/>
      </w:r>
      <w:r w:rsidRPr="009C1B9A">
        <w:rPr>
          <w:rStyle w:val="Emphasis"/>
        </w:rPr>
        <w:tab/>
      </w:r>
      <w:r w:rsidRPr="009C1B9A">
        <w:rPr>
          <w:rStyle w:val="Emphasis"/>
        </w:rPr>
        <w:tab/>
      </w:r>
      <w:r w:rsidRPr="009C1B9A">
        <w:rPr>
          <w:rStyle w:val="Emphasis"/>
        </w:rPr>
        <w:tab/>
      </w:r>
      <w:r w:rsidRPr="009C1B9A">
        <w:rPr>
          <w:rStyle w:val="Emphasis"/>
        </w:rPr>
        <w:tab/>
      </w:r>
    </w:p>
    <w:p w14:paraId="02B674B4" w14:textId="77777777" w:rsidR="009C1B9A" w:rsidRPr="009C1B9A" w:rsidRDefault="009C1B9A" w:rsidP="009C1B9A">
      <w:pPr>
        <w:spacing w:after="0"/>
        <w:ind w:left="720"/>
        <w:rPr>
          <w:rStyle w:val="Emphasis"/>
        </w:rPr>
      </w:pPr>
      <w:r w:rsidRPr="009C1B9A">
        <w:rPr>
          <w:rStyle w:val="Emphasis"/>
        </w:rPr>
        <w:t>To enable telephone conversation between people with speech or hearing loss and people without speech or hearing loss please call Oklahoma Relay at 711 (</w:t>
      </w:r>
      <w:hyperlink r:id="rId30" w:history="1">
        <w:r w:rsidRPr="009C1B9A">
          <w:rPr>
            <w:rStyle w:val="Emphasis"/>
          </w:rPr>
          <w:t>http://www.oklahomarelay.com/711.html</w:t>
        </w:r>
      </w:hyperlink>
      <w:r w:rsidRPr="009C1B9A">
        <w:rPr>
          <w:rStyle w:val="Emphasis"/>
        </w:rPr>
        <w:t>) or TDD/TTY: 800-722-0353.</w:t>
      </w:r>
    </w:p>
    <w:p w14:paraId="38595672" w14:textId="56562349" w:rsidR="009C1B9A" w:rsidRDefault="009C1B9A" w:rsidP="00BA4C6B">
      <w:pPr>
        <w:spacing w:after="0"/>
        <w:rPr>
          <w:rFonts w:ascii="Calibri" w:eastAsia="Times New Roman" w:hAnsi="Calibri" w:cs="Times New Roman"/>
        </w:rPr>
      </w:pPr>
    </w:p>
    <w:p w14:paraId="37F483C3" w14:textId="77777777" w:rsidR="009C1B9A" w:rsidRPr="00E656E2" w:rsidRDefault="009C1B9A" w:rsidP="00E656E2">
      <w:pPr>
        <w:pStyle w:val="Subtitle"/>
        <w:jc w:val="center"/>
        <w:rPr>
          <w:rFonts w:eastAsia="Times New Roman" w:cstheme="minorHAnsi"/>
          <w:b/>
          <w:bCs/>
          <w:color w:val="auto"/>
          <w:sz w:val="32"/>
          <w:szCs w:val="32"/>
        </w:rPr>
      </w:pPr>
      <w:r w:rsidRPr="00E656E2">
        <w:rPr>
          <w:rFonts w:cstheme="minorHAnsi"/>
          <w:b/>
          <w:bCs/>
          <w:color w:val="auto"/>
          <w:sz w:val="32"/>
          <w:szCs w:val="32"/>
        </w:rPr>
        <w:t>Adult and Dislocated Worker Eligibility Form</w:t>
      </w:r>
    </w:p>
    <w:p w14:paraId="4194997C" w14:textId="77777777" w:rsidR="009C1B9A" w:rsidRDefault="009C1B9A" w:rsidP="00BA4C6B">
      <w:pPr>
        <w:spacing w:after="0"/>
        <w:rPr>
          <w:rFonts w:ascii="Calibri" w:eastAsia="Times New Roman" w:hAnsi="Calibri" w:cs="Times New Roman"/>
        </w:rPr>
      </w:pPr>
    </w:p>
    <w:p w14:paraId="0BBBA0AC" w14:textId="77777777" w:rsidR="009C1B9A" w:rsidRPr="009C1B9A" w:rsidRDefault="009C1B9A" w:rsidP="009C1B9A">
      <w:pPr>
        <w:kinsoku w:val="0"/>
        <w:overflowPunct w:val="0"/>
        <w:autoSpaceDE w:val="0"/>
        <w:autoSpaceDN w:val="0"/>
        <w:adjustRightInd w:val="0"/>
        <w:spacing w:after="0" w:line="244" w:lineRule="exact"/>
        <w:ind w:right="-29"/>
        <w:rPr>
          <w:rFonts w:ascii="Calibri" w:hAnsi="Calibri" w:cs="Calibri"/>
          <w:b/>
          <w:bCs/>
          <w:sz w:val="24"/>
          <w:szCs w:val="24"/>
        </w:rPr>
      </w:pPr>
      <w:r w:rsidRPr="009C1B9A">
        <w:rPr>
          <w:rFonts w:ascii="Calibri" w:hAnsi="Calibri" w:cs="Calibri"/>
          <w:b/>
          <w:bCs/>
          <w:sz w:val="24"/>
          <w:szCs w:val="24"/>
        </w:rPr>
        <w:t xml:space="preserve">IDENTIFYING INFORMATION </w:t>
      </w:r>
    </w:p>
    <w:p w14:paraId="7347B8A5" w14:textId="77777777" w:rsidR="00E129FC" w:rsidRPr="00BA4C6B" w:rsidRDefault="00E129FC" w:rsidP="00BA4C6B">
      <w:pPr>
        <w:spacing w:after="0"/>
        <w:rPr>
          <w:b/>
        </w:rPr>
      </w:pPr>
    </w:p>
    <w:tbl>
      <w:tblPr>
        <w:tblW w:w="9905" w:type="dxa"/>
        <w:tblInd w:w="100" w:type="dxa"/>
        <w:tblLayout w:type="fixed"/>
        <w:tblCellMar>
          <w:left w:w="0" w:type="dxa"/>
          <w:right w:w="0" w:type="dxa"/>
        </w:tblCellMar>
        <w:tblLook w:val="0000" w:firstRow="0" w:lastRow="0" w:firstColumn="0" w:lastColumn="0" w:noHBand="0" w:noVBand="0"/>
      </w:tblPr>
      <w:tblGrid>
        <w:gridCol w:w="4129"/>
        <w:gridCol w:w="5751"/>
        <w:gridCol w:w="25"/>
      </w:tblGrid>
      <w:tr w:rsidR="00734172" w:rsidRPr="00734172" w14:paraId="2DC46E02" w14:textId="77777777" w:rsidTr="009C1B9A">
        <w:trPr>
          <w:trHeight w:val="321"/>
        </w:trPr>
        <w:tc>
          <w:tcPr>
            <w:tcW w:w="4129" w:type="dxa"/>
            <w:tcBorders>
              <w:top w:val="single" w:sz="4" w:space="0" w:color="auto"/>
              <w:left w:val="single" w:sz="4" w:space="0" w:color="auto"/>
              <w:bottom w:val="single" w:sz="4" w:space="0" w:color="auto"/>
            </w:tcBorders>
          </w:tcPr>
          <w:p w14:paraId="08A3560D" w14:textId="77777777" w:rsidR="00734172" w:rsidRPr="00734172" w:rsidRDefault="00734172" w:rsidP="00734172">
            <w:pPr>
              <w:kinsoku w:val="0"/>
              <w:overflowPunct w:val="0"/>
              <w:autoSpaceDE w:val="0"/>
              <w:autoSpaceDN w:val="0"/>
              <w:adjustRightInd w:val="0"/>
              <w:spacing w:before="54" w:after="0" w:line="240" w:lineRule="auto"/>
              <w:ind w:left="107" w:right="-6264"/>
              <w:rPr>
                <w:rFonts w:ascii="Calibri" w:hAnsi="Calibri" w:cs="Calibri"/>
                <w:w w:val="99"/>
                <w:sz w:val="20"/>
                <w:szCs w:val="20"/>
              </w:rPr>
            </w:pPr>
            <w:r w:rsidRPr="00734172">
              <w:rPr>
                <w:rFonts w:ascii="Calibri" w:hAnsi="Calibri" w:cs="Calibri"/>
                <w:spacing w:val="-5"/>
                <w:sz w:val="20"/>
                <w:szCs w:val="20"/>
              </w:rPr>
              <w:t>Applicant’s</w:t>
            </w:r>
            <w:r w:rsidRPr="00734172">
              <w:rPr>
                <w:rFonts w:ascii="Calibri" w:hAnsi="Calibri" w:cs="Calibri"/>
                <w:spacing w:val="-11"/>
                <w:sz w:val="20"/>
                <w:szCs w:val="20"/>
              </w:rPr>
              <w:t xml:space="preserve"> </w:t>
            </w:r>
            <w:r w:rsidRPr="00734172">
              <w:rPr>
                <w:rFonts w:ascii="Calibri" w:hAnsi="Calibri" w:cs="Calibri"/>
                <w:spacing w:val="-5"/>
                <w:sz w:val="20"/>
                <w:szCs w:val="20"/>
              </w:rPr>
              <w:t xml:space="preserve">Name:               </w:t>
            </w:r>
            <w:r w:rsidRPr="00734172">
              <w:rPr>
                <w:rFonts w:ascii="Calibri" w:hAnsi="Calibri" w:cs="Calibri"/>
                <w:spacing w:val="5"/>
                <w:sz w:val="20"/>
                <w:szCs w:val="20"/>
              </w:rPr>
              <w:t xml:space="preserve"> </w:t>
            </w:r>
            <w:r w:rsidRPr="00734172">
              <w:rPr>
                <w:rFonts w:ascii="Calibri" w:hAnsi="Calibri" w:cs="Calibri"/>
                <w:w w:val="99"/>
                <w:sz w:val="20"/>
                <w:szCs w:val="20"/>
                <w:u w:val="single"/>
              </w:rPr>
              <w:t xml:space="preserve"> </w:t>
            </w:r>
            <w:r w:rsidRPr="00734172">
              <w:rPr>
                <w:rFonts w:ascii="Calibri" w:hAnsi="Calibri" w:cs="Calibri"/>
                <w:sz w:val="20"/>
                <w:szCs w:val="20"/>
                <w:u w:val="single"/>
              </w:rPr>
              <w:t xml:space="preserve">                                                                                                                                                                                 </w:t>
            </w:r>
            <w:r w:rsidRPr="00734172">
              <w:rPr>
                <w:rFonts w:ascii="Calibri" w:hAnsi="Calibri" w:cs="Calibri"/>
                <w:spacing w:val="-3"/>
                <w:sz w:val="20"/>
                <w:szCs w:val="20"/>
                <w:u w:val="single"/>
              </w:rPr>
              <w:t xml:space="preserve"> </w:t>
            </w:r>
          </w:p>
        </w:tc>
        <w:tc>
          <w:tcPr>
            <w:tcW w:w="5751" w:type="dxa"/>
            <w:tcBorders>
              <w:top w:val="single" w:sz="4" w:space="0" w:color="auto"/>
              <w:bottom w:val="single" w:sz="4" w:space="0" w:color="auto"/>
            </w:tcBorders>
          </w:tcPr>
          <w:p w14:paraId="7D28EB17" w14:textId="77777777" w:rsidR="00734172" w:rsidRPr="00734172" w:rsidRDefault="00734172" w:rsidP="00734172">
            <w:pPr>
              <w:kinsoku w:val="0"/>
              <w:overflowPunct w:val="0"/>
              <w:autoSpaceDE w:val="0"/>
              <w:autoSpaceDN w:val="0"/>
              <w:adjustRightInd w:val="0"/>
              <w:spacing w:after="0" w:line="240" w:lineRule="auto"/>
              <w:rPr>
                <w:rFonts w:ascii="Times New Roman" w:hAnsi="Times New Roman" w:cs="Times New Roman"/>
                <w:sz w:val="20"/>
                <w:szCs w:val="20"/>
              </w:rPr>
            </w:pPr>
          </w:p>
        </w:tc>
        <w:tc>
          <w:tcPr>
            <w:tcW w:w="25" w:type="dxa"/>
            <w:tcBorders>
              <w:top w:val="single" w:sz="4" w:space="0" w:color="auto"/>
              <w:bottom w:val="single" w:sz="4" w:space="0" w:color="auto"/>
              <w:right w:val="single" w:sz="4" w:space="0" w:color="auto"/>
            </w:tcBorders>
          </w:tcPr>
          <w:p w14:paraId="25CFBE4E" w14:textId="77777777" w:rsidR="00734172" w:rsidRPr="00734172" w:rsidRDefault="00734172" w:rsidP="00734172">
            <w:pPr>
              <w:kinsoku w:val="0"/>
              <w:overflowPunct w:val="0"/>
              <w:autoSpaceDE w:val="0"/>
              <w:autoSpaceDN w:val="0"/>
              <w:adjustRightInd w:val="0"/>
              <w:spacing w:after="0" w:line="240" w:lineRule="auto"/>
              <w:rPr>
                <w:rFonts w:ascii="Times New Roman" w:hAnsi="Times New Roman" w:cs="Times New Roman"/>
                <w:sz w:val="20"/>
                <w:szCs w:val="20"/>
              </w:rPr>
            </w:pPr>
          </w:p>
        </w:tc>
      </w:tr>
      <w:tr w:rsidR="00734172" w:rsidRPr="00734172" w14:paraId="19707E2D" w14:textId="77777777" w:rsidTr="009C1B9A">
        <w:trPr>
          <w:trHeight w:val="248"/>
        </w:trPr>
        <w:tc>
          <w:tcPr>
            <w:tcW w:w="4129" w:type="dxa"/>
            <w:tcBorders>
              <w:top w:val="single" w:sz="4" w:space="0" w:color="auto"/>
              <w:left w:val="single" w:sz="4" w:space="0" w:color="000000"/>
              <w:bottom w:val="single" w:sz="4" w:space="0" w:color="auto"/>
              <w:right w:val="none" w:sz="6" w:space="0" w:color="auto"/>
            </w:tcBorders>
          </w:tcPr>
          <w:p w14:paraId="63BD1AFE" w14:textId="77777777" w:rsidR="00734172" w:rsidRPr="00734172" w:rsidRDefault="00734172" w:rsidP="00734172">
            <w:pPr>
              <w:kinsoku w:val="0"/>
              <w:overflowPunct w:val="0"/>
              <w:autoSpaceDE w:val="0"/>
              <w:autoSpaceDN w:val="0"/>
              <w:adjustRightInd w:val="0"/>
              <w:spacing w:after="0" w:line="228" w:lineRule="exact"/>
              <w:ind w:left="2315" w:right="1391"/>
              <w:jc w:val="center"/>
              <w:rPr>
                <w:rFonts w:ascii="Calibri" w:hAnsi="Calibri" w:cs="Calibri"/>
                <w:sz w:val="20"/>
                <w:szCs w:val="20"/>
              </w:rPr>
            </w:pPr>
            <w:r w:rsidRPr="00734172">
              <w:rPr>
                <w:rFonts w:ascii="Calibri" w:hAnsi="Calibri" w:cs="Calibri"/>
                <w:sz w:val="20"/>
                <w:szCs w:val="20"/>
              </w:rPr>
              <w:t>Last</w:t>
            </w:r>
          </w:p>
        </w:tc>
        <w:tc>
          <w:tcPr>
            <w:tcW w:w="5751" w:type="dxa"/>
            <w:tcBorders>
              <w:top w:val="single" w:sz="4" w:space="0" w:color="auto"/>
              <w:left w:val="none" w:sz="6" w:space="0" w:color="auto"/>
              <w:bottom w:val="single" w:sz="4" w:space="0" w:color="auto"/>
              <w:right w:val="none" w:sz="6" w:space="0" w:color="auto"/>
            </w:tcBorders>
          </w:tcPr>
          <w:p w14:paraId="68C15B10" w14:textId="77777777" w:rsidR="00734172" w:rsidRPr="00734172" w:rsidRDefault="00734172" w:rsidP="00734172">
            <w:pPr>
              <w:kinsoku w:val="0"/>
              <w:overflowPunct w:val="0"/>
              <w:autoSpaceDE w:val="0"/>
              <w:autoSpaceDN w:val="0"/>
              <w:adjustRightInd w:val="0"/>
              <w:spacing w:after="0" w:line="228" w:lineRule="exact"/>
              <w:ind w:left="1398" w:right="1383"/>
              <w:jc w:val="center"/>
              <w:rPr>
                <w:rFonts w:ascii="Calibri" w:hAnsi="Calibri" w:cs="Calibri"/>
                <w:sz w:val="20"/>
                <w:szCs w:val="20"/>
              </w:rPr>
            </w:pPr>
            <w:r w:rsidRPr="00734172">
              <w:rPr>
                <w:rFonts w:ascii="Calibri" w:hAnsi="Calibri" w:cs="Calibri"/>
                <w:sz w:val="20"/>
                <w:szCs w:val="20"/>
              </w:rPr>
              <w:t>First</w:t>
            </w:r>
          </w:p>
        </w:tc>
        <w:tc>
          <w:tcPr>
            <w:tcW w:w="25" w:type="dxa"/>
            <w:tcBorders>
              <w:top w:val="single" w:sz="4" w:space="0" w:color="auto"/>
              <w:left w:val="none" w:sz="6" w:space="0" w:color="auto"/>
              <w:bottom w:val="single" w:sz="4" w:space="0" w:color="auto"/>
              <w:right w:val="none" w:sz="6" w:space="0" w:color="auto"/>
            </w:tcBorders>
          </w:tcPr>
          <w:p w14:paraId="5CCF5804" w14:textId="77777777" w:rsidR="00734172" w:rsidRPr="00734172" w:rsidRDefault="00734172" w:rsidP="00734172">
            <w:pPr>
              <w:kinsoku w:val="0"/>
              <w:overflowPunct w:val="0"/>
              <w:autoSpaceDE w:val="0"/>
              <w:autoSpaceDN w:val="0"/>
              <w:adjustRightInd w:val="0"/>
              <w:spacing w:after="0" w:line="228" w:lineRule="exact"/>
              <w:ind w:right="193"/>
              <w:jc w:val="right"/>
              <w:rPr>
                <w:rFonts w:ascii="Calibri" w:hAnsi="Calibri" w:cs="Calibri"/>
                <w:w w:val="95"/>
                <w:sz w:val="20"/>
                <w:szCs w:val="20"/>
              </w:rPr>
            </w:pPr>
            <w:r w:rsidRPr="00734172">
              <w:rPr>
                <w:rFonts w:ascii="Calibri" w:hAnsi="Calibri" w:cs="Calibri"/>
                <w:w w:val="95"/>
                <w:sz w:val="20"/>
                <w:szCs w:val="20"/>
              </w:rPr>
              <w:t>MI</w:t>
            </w:r>
          </w:p>
        </w:tc>
      </w:tr>
      <w:tr w:rsidR="00734172" w:rsidRPr="00734172" w14:paraId="5B21DF29" w14:textId="77777777" w:rsidTr="009C1B9A">
        <w:trPr>
          <w:gridAfter w:val="1"/>
          <w:wAfter w:w="25" w:type="dxa"/>
          <w:trHeight w:val="377"/>
        </w:trPr>
        <w:tc>
          <w:tcPr>
            <w:tcW w:w="4129" w:type="dxa"/>
            <w:tcBorders>
              <w:top w:val="single" w:sz="4" w:space="0" w:color="auto"/>
              <w:left w:val="single" w:sz="4" w:space="0" w:color="auto"/>
              <w:bottom w:val="single" w:sz="4" w:space="0" w:color="auto"/>
            </w:tcBorders>
          </w:tcPr>
          <w:p w14:paraId="0BA54D55" w14:textId="77777777" w:rsidR="00734172" w:rsidRPr="00734172" w:rsidRDefault="00734172" w:rsidP="00734172">
            <w:pPr>
              <w:kinsoku w:val="0"/>
              <w:overflowPunct w:val="0"/>
              <w:autoSpaceDE w:val="0"/>
              <w:autoSpaceDN w:val="0"/>
              <w:adjustRightInd w:val="0"/>
              <w:spacing w:after="0" w:line="225" w:lineRule="exact"/>
              <w:ind w:left="107" w:right="-1325"/>
              <w:rPr>
                <w:rFonts w:ascii="Calibri" w:hAnsi="Calibri" w:cs="Calibri"/>
                <w:w w:val="99"/>
                <w:sz w:val="20"/>
                <w:szCs w:val="20"/>
              </w:rPr>
            </w:pPr>
            <w:r w:rsidRPr="00734172">
              <w:rPr>
                <w:rFonts w:ascii="Calibri" w:hAnsi="Calibri" w:cs="Calibri"/>
                <w:spacing w:val="-5"/>
                <w:sz w:val="20"/>
                <w:szCs w:val="20"/>
              </w:rPr>
              <w:t>Participant</w:t>
            </w:r>
            <w:r w:rsidRPr="00734172">
              <w:rPr>
                <w:rFonts w:ascii="Calibri" w:hAnsi="Calibri" w:cs="Calibri"/>
                <w:spacing w:val="-9"/>
                <w:sz w:val="20"/>
                <w:szCs w:val="20"/>
              </w:rPr>
              <w:t xml:space="preserve"> </w:t>
            </w:r>
            <w:r w:rsidRPr="00734172">
              <w:rPr>
                <w:rFonts w:ascii="Calibri" w:hAnsi="Calibri" w:cs="Calibri"/>
                <w:spacing w:val="-4"/>
                <w:sz w:val="20"/>
                <w:szCs w:val="20"/>
              </w:rPr>
              <w:t xml:space="preserve">ID:              </w:t>
            </w:r>
            <w:r w:rsidRPr="00734172">
              <w:rPr>
                <w:rFonts w:ascii="Calibri" w:hAnsi="Calibri" w:cs="Calibri"/>
                <w:spacing w:val="14"/>
                <w:sz w:val="20"/>
                <w:szCs w:val="20"/>
              </w:rPr>
              <w:t xml:space="preserve"> </w:t>
            </w:r>
            <w:r w:rsidRPr="00734172">
              <w:rPr>
                <w:rFonts w:ascii="Calibri" w:hAnsi="Calibri" w:cs="Calibri"/>
                <w:w w:val="99"/>
                <w:sz w:val="20"/>
                <w:szCs w:val="20"/>
                <w:u w:val="single"/>
              </w:rPr>
              <w:t xml:space="preserve"> </w:t>
            </w:r>
            <w:r w:rsidRPr="00734172">
              <w:rPr>
                <w:rFonts w:ascii="Calibri" w:hAnsi="Calibri" w:cs="Calibri"/>
                <w:sz w:val="20"/>
                <w:szCs w:val="20"/>
                <w:u w:val="single"/>
              </w:rPr>
              <w:t xml:space="preserve">                                                                            </w:t>
            </w:r>
            <w:r w:rsidRPr="00734172">
              <w:rPr>
                <w:rFonts w:ascii="Calibri" w:hAnsi="Calibri" w:cs="Calibri"/>
                <w:spacing w:val="-21"/>
                <w:sz w:val="20"/>
                <w:szCs w:val="20"/>
                <w:u w:val="single"/>
              </w:rPr>
              <w:t xml:space="preserve"> </w:t>
            </w:r>
          </w:p>
        </w:tc>
        <w:tc>
          <w:tcPr>
            <w:tcW w:w="5751" w:type="dxa"/>
            <w:tcBorders>
              <w:top w:val="single" w:sz="4" w:space="0" w:color="auto"/>
              <w:bottom w:val="single" w:sz="4" w:space="0" w:color="auto"/>
              <w:right w:val="single" w:sz="4" w:space="0" w:color="auto"/>
            </w:tcBorders>
          </w:tcPr>
          <w:p w14:paraId="5F946635" w14:textId="77777777" w:rsidR="00734172" w:rsidRPr="00734172" w:rsidRDefault="00734172" w:rsidP="00734172">
            <w:pPr>
              <w:kinsoku w:val="0"/>
              <w:overflowPunct w:val="0"/>
              <w:autoSpaceDE w:val="0"/>
              <w:autoSpaceDN w:val="0"/>
              <w:adjustRightInd w:val="0"/>
              <w:spacing w:after="0" w:line="225" w:lineRule="exact"/>
              <w:ind w:left="3064" w:right="-1253"/>
              <w:rPr>
                <w:rFonts w:ascii="Calibri" w:hAnsi="Calibri" w:cs="Calibri"/>
                <w:w w:val="99"/>
                <w:sz w:val="20"/>
                <w:szCs w:val="20"/>
              </w:rPr>
            </w:pPr>
            <w:r w:rsidRPr="00734172">
              <w:rPr>
                <w:rFonts w:ascii="Calibri" w:hAnsi="Calibri" w:cs="Calibri"/>
                <w:spacing w:val="-5"/>
                <w:sz w:val="20"/>
                <w:szCs w:val="20"/>
              </w:rPr>
              <w:t>Application</w:t>
            </w:r>
            <w:r w:rsidRPr="00734172">
              <w:rPr>
                <w:rFonts w:ascii="Calibri" w:hAnsi="Calibri" w:cs="Calibri"/>
                <w:spacing w:val="-9"/>
                <w:sz w:val="20"/>
                <w:szCs w:val="20"/>
              </w:rPr>
              <w:t xml:space="preserve"> </w:t>
            </w:r>
            <w:r w:rsidRPr="00734172">
              <w:rPr>
                <w:rFonts w:ascii="Calibri" w:hAnsi="Calibri" w:cs="Calibri"/>
                <w:spacing w:val="-5"/>
                <w:sz w:val="20"/>
                <w:szCs w:val="20"/>
              </w:rPr>
              <w:t xml:space="preserve">Date: </w:t>
            </w:r>
            <w:r w:rsidRPr="00734172">
              <w:rPr>
                <w:rFonts w:ascii="Calibri" w:hAnsi="Calibri" w:cs="Calibri"/>
                <w:spacing w:val="9"/>
                <w:sz w:val="20"/>
                <w:szCs w:val="20"/>
              </w:rPr>
              <w:t xml:space="preserve"> </w:t>
            </w:r>
            <w:r w:rsidRPr="00734172">
              <w:rPr>
                <w:rFonts w:ascii="Calibri" w:hAnsi="Calibri" w:cs="Calibri"/>
                <w:w w:val="99"/>
                <w:sz w:val="20"/>
                <w:szCs w:val="20"/>
                <w:u w:val="single"/>
              </w:rPr>
              <w:t xml:space="preserve"> </w:t>
            </w:r>
            <w:r w:rsidRPr="00734172">
              <w:rPr>
                <w:rFonts w:ascii="Calibri" w:hAnsi="Calibri" w:cs="Calibri"/>
                <w:sz w:val="20"/>
                <w:szCs w:val="20"/>
                <w:u w:val="single"/>
              </w:rPr>
              <w:t xml:space="preserve">                                      </w:t>
            </w:r>
          </w:p>
        </w:tc>
      </w:tr>
    </w:tbl>
    <w:p w14:paraId="3D7B14EA" w14:textId="77777777" w:rsidR="00734172" w:rsidRPr="00734172" w:rsidRDefault="00734172" w:rsidP="00734172">
      <w:pPr>
        <w:kinsoku w:val="0"/>
        <w:overflowPunct w:val="0"/>
        <w:autoSpaceDE w:val="0"/>
        <w:autoSpaceDN w:val="0"/>
        <w:adjustRightInd w:val="0"/>
        <w:spacing w:before="4" w:after="0" w:line="240" w:lineRule="auto"/>
        <w:rPr>
          <w:rFonts w:ascii="Calibri" w:hAnsi="Calibri" w:cs="Calibri"/>
          <w:b/>
          <w:bCs/>
          <w:sz w:val="14"/>
          <w:szCs w:val="14"/>
        </w:rPr>
      </w:pPr>
    </w:p>
    <w:tbl>
      <w:tblPr>
        <w:tblW w:w="0" w:type="auto"/>
        <w:tblInd w:w="100"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746"/>
        <w:gridCol w:w="1118"/>
        <w:gridCol w:w="2896"/>
      </w:tblGrid>
      <w:tr w:rsidR="00734172" w:rsidRPr="00734172" w14:paraId="69AB1B25" w14:textId="77777777" w:rsidTr="00171F76">
        <w:trPr>
          <w:trHeight w:val="537"/>
        </w:trPr>
        <w:tc>
          <w:tcPr>
            <w:tcW w:w="6746" w:type="dxa"/>
            <w:shd w:val="clear" w:color="auto" w:fill="D9D9D9"/>
          </w:tcPr>
          <w:p w14:paraId="35DE39DD" w14:textId="77777777" w:rsidR="00734172" w:rsidRPr="00734172" w:rsidRDefault="00734172" w:rsidP="00734172">
            <w:pPr>
              <w:kinsoku w:val="0"/>
              <w:overflowPunct w:val="0"/>
              <w:autoSpaceDE w:val="0"/>
              <w:autoSpaceDN w:val="0"/>
              <w:adjustRightInd w:val="0"/>
              <w:spacing w:before="1" w:after="0" w:line="267" w:lineRule="exact"/>
              <w:ind w:left="1844" w:right="1837"/>
              <w:jc w:val="center"/>
              <w:rPr>
                <w:rFonts w:ascii="Calibri" w:hAnsi="Calibri" w:cs="Calibri"/>
                <w:b/>
                <w:bCs/>
              </w:rPr>
            </w:pPr>
            <w:r w:rsidRPr="00734172">
              <w:rPr>
                <w:rFonts w:ascii="Calibri" w:hAnsi="Calibri" w:cs="Calibri"/>
                <w:b/>
                <w:bCs/>
              </w:rPr>
              <w:t>General Eligibility Criteria –</w:t>
            </w:r>
          </w:p>
          <w:p w14:paraId="295E997F" w14:textId="77777777" w:rsidR="00734172" w:rsidRPr="00734172" w:rsidRDefault="00734172" w:rsidP="00734172">
            <w:pPr>
              <w:kinsoku w:val="0"/>
              <w:overflowPunct w:val="0"/>
              <w:autoSpaceDE w:val="0"/>
              <w:autoSpaceDN w:val="0"/>
              <w:adjustRightInd w:val="0"/>
              <w:spacing w:after="0" w:line="248" w:lineRule="exact"/>
              <w:ind w:left="1846" w:right="1837"/>
              <w:jc w:val="center"/>
              <w:rPr>
                <w:rFonts w:ascii="Calibri" w:hAnsi="Calibri" w:cs="Calibri"/>
                <w:b/>
                <w:bCs/>
              </w:rPr>
            </w:pPr>
            <w:r w:rsidRPr="00734172">
              <w:rPr>
                <w:rFonts w:ascii="Calibri" w:hAnsi="Calibri" w:cs="Calibri"/>
                <w:b/>
                <w:bCs/>
              </w:rPr>
              <w:t>Verify all of the following criteria</w:t>
            </w:r>
          </w:p>
        </w:tc>
        <w:tc>
          <w:tcPr>
            <w:tcW w:w="1118" w:type="dxa"/>
            <w:shd w:val="clear" w:color="auto" w:fill="D9D9D9"/>
          </w:tcPr>
          <w:p w14:paraId="2D33582F" w14:textId="77777777" w:rsidR="00734172" w:rsidRPr="00734172" w:rsidRDefault="00734172" w:rsidP="00734172">
            <w:pPr>
              <w:kinsoku w:val="0"/>
              <w:overflowPunct w:val="0"/>
              <w:autoSpaceDE w:val="0"/>
              <w:autoSpaceDN w:val="0"/>
              <w:adjustRightInd w:val="0"/>
              <w:spacing w:before="1" w:after="0" w:line="267" w:lineRule="exact"/>
              <w:ind w:left="139"/>
              <w:rPr>
                <w:rFonts w:ascii="Calibri" w:hAnsi="Calibri" w:cs="Calibri"/>
                <w:b/>
                <w:bCs/>
              </w:rPr>
            </w:pPr>
            <w:r w:rsidRPr="00734172">
              <w:rPr>
                <w:rFonts w:ascii="Calibri" w:hAnsi="Calibri" w:cs="Calibri"/>
                <w:b/>
                <w:bCs/>
              </w:rPr>
              <w:t>Eligibility</w:t>
            </w:r>
          </w:p>
          <w:p w14:paraId="25CABBA6" w14:textId="77777777" w:rsidR="00734172" w:rsidRPr="00734172" w:rsidRDefault="00734172" w:rsidP="00734172">
            <w:pPr>
              <w:kinsoku w:val="0"/>
              <w:overflowPunct w:val="0"/>
              <w:autoSpaceDE w:val="0"/>
              <w:autoSpaceDN w:val="0"/>
              <w:adjustRightInd w:val="0"/>
              <w:spacing w:after="0" w:line="248" w:lineRule="exact"/>
              <w:ind w:left="218"/>
              <w:rPr>
                <w:rFonts w:ascii="Calibri" w:hAnsi="Calibri" w:cs="Calibri"/>
                <w:b/>
                <w:bCs/>
              </w:rPr>
            </w:pPr>
            <w:r w:rsidRPr="00734172">
              <w:rPr>
                <w:rFonts w:ascii="Calibri" w:hAnsi="Calibri" w:cs="Calibri"/>
                <w:b/>
                <w:bCs/>
              </w:rPr>
              <w:t>Criteria</w:t>
            </w:r>
          </w:p>
        </w:tc>
        <w:tc>
          <w:tcPr>
            <w:tcW w:w="2896" w:type="dxa"/>
            <w:shd w:val="clear" w:color="auto" w:fill="D9D9D9"/>
          </w:tcPr>
          <w:p w14:paraId="6D8D8819" w14:textId="77777777" w:rsidR="00734172" w:rsidRPr="00734172" w:rsidRDefault="00734172" w:rsidP="00734172">
            <w:pPr>
              <w:kinsoku w:val="0"/>
              <w:overflowPunct w:val="0"/>
              <w:autoSpaceDE w:val="0"/>
              <w:autoSpaceDN w:val="0"/>
              <w:adjustRightInd w:val="0"/>
              <w:spacing w:before="136" w:after="0" w:line="240" w:lineRule="auto"/>
              <w:ind w:left="278"/>
              <w:rPr>
                <w:rFonts w:ascii="Calibri" w:hAnsi="Calibri" w:cs="Calibri"/>
                <w:b/>
                <w:bCs/>
              </w:rPr>
            </w:pPr>
            <w:r w:rsidRPr="00734172">
              <w:rPr>
                <w:rFonts w:ascii="Calibri" w:hAnsi="Calibri" w:cs="Calibri"/>
                <w:b/>
                <w:bCs/>
              </w:rPr>
              <w:t>Documentation Uploaded</w:t>
            </w:r>
          </w:p>
        </w:tc>
      </w:tr>
      <w:tr w:rsidR="00734172" w:rsidRPr="00734172" w14:paraId="7901C6B8" w14:textId="77777777" w:rsidTr="00171F76">
        <w:trPr>
          <w:trHeight w:val="290"/>
        </w:trPr>
        <w:tc>
          <w:tcPr>
            <w:tcW w:w="6746" w:type="dxa"/>
          </w:tcPr>
          <w:p w14:paraId="643D4237" w14:textId="77777777" w:rsidR="00734172" w:rsidRPr="00734172" w:rsidRDefault="00734172" w:rsidP="00734172">
            <w:pPr>
              <w:kinsoku w:val="0"/>
              <w:overflowPunct w:val="0"/>
              <w:autoSpaceDE w:val="0"/>
              <w:autoSpaceDN w:val="0"/>
              <w:adjustRightInd w:val="0"/>
              <w:spacing w:before="23" w:after="0" w:line="240" w:lineRule="auto"/>
              <w:ind w:left="107"/>
              <w:rPr>
                <w:rFonts w:ascii="Calibri" w:hAnsi="Calibri" w:cs="Calibri"/>
                <w:sz w:val="20"/>
                <w:szCs w:val="20"/>
              </w:rPr>
            </w:pPr>
            <w:r w:rsidRPr="00734172">
              <w:rPr>
                <w:rFonts w:ascii="Calibri" w:hAnsi="Calibri" w:cs="Calibri"/>
                <w:sz w:val="20"/>
                <w:szCs w:val="20"/>
              </w:rPr>
              <w:t>1. Age / Date of Birth</w:t>
            </w:r>
          </w:p>
        </w:tc>
        <w:tc>
          <w:tcPr>
            <w:tcW w:w="1118" w:type="dxa"/>
          </w:tcPr>
          <w:p w14:paraId="1D2227C7" w14:textId="77777777" w:rsidR="00734172" w:rsidRPr="00734172" w:rsidRDefault="00734172" w:rsidP="00734172">
            <w:pPr>
              <w:kinsoku w:val="0"/>
              <w:overflowPunct w:val="0"/>
              <w:autoSpaceDE w:val="0"/>
              <w:autoSpaceDN w:val="0"/>
              <w:adjustRightInd w:val="0"/>
              <w:spacing w:before="18" w:after="0" w:line="252" w:lineRule="exact"/>
              <w:ind w:right="450"/>
              <w:jc w:val="right"/>
              <w:rPr>
                <w:rFonts w:ascii="MS Gothic" w:eastAsia="MS Gothic" w:hAnsi="Times New Roman" w:cs="MS Gothic"/>
                <w:w w:val="99"/>
                <w:sz w:val="20"/>
                <w:szCs w:val="20"/>
              </w:rPr>
            </w:pPr>
            <w:r w:rsidRPr="00734172">
              <w:rPr>
                <w:rFonts w:ascii="MS Gothic" w:eastAsia="MS Gothic" w:hAnsi="Times New Roman" w:cs="MS Gothic" w:hint="eastAsia"/>
                <w:w w:val="99"/>
                <w:sz w:val="20"/>
                <w:szCs w:val="20"/>
              </w:rPr>
              <w:t>☐</w:t>
            </w:r>
          </w:p>
        </w:tc>
        <w:tc>
          <w:tcPr>
            <w:tcW w:w="2896" w:type="dxa"/>
          </w:tcPr>
          <w:p w14:paraId="425CB112" w14:textId="77777777" w:rsidR="00734172" w:rsidRPr="00734172" w:rsidRDefault="00734172" w:rsidP="00734172">
            <w:pPr>
              <w:kinsoku w:val="0"/>
              <w:overflowPunct w:val="0"/>
              <w:autoSpaceDE w:val="0"/>
              <w:autoSpaceDN w:val="0"/>
              <w:adjustRightInd w:val="0"/>
              <w:spacing w:after="0" w:line="240" w:lineRule="auto"/>
              <w:rPr>
                <w:rFonts w:ascii="Times New Roman" w:hAnsi="Times New Roman" w:cs="Times New Roman"/>
                <w:sz w:val="20"/>
                <w:szCs w:val="20"/>
              </w:rPr>
            </w:pPr>
          </w:p>
        </w:tc>
      </w:tr>
      <w:tr w:rsidR="00734172" w:rsidRPr="00734172" w14:paraId="19C1BCE7" w14:textId="77777777" w:rsidTr="00171F76">
        <w:trPr>
          <w:trHeight w:val="287"/>
        </w:trPr>
        <w:tc>
          <w:tcPr>
            <w:tcW w:w="6746" w:type="dxa"/>
          </w:tcPr>
          <w:p w14:paraId="5431701D" w14:textId="77777777" w:rsidR="00734172" w:rsidRPr="00734172" w:rsidRDefault="00734172" w:rsidP="00734172">
            <w:pPr>
              <w:kinsoku w:val="0"/>
              <w:overflowPunct w:val="0"/>
              <w:autoSpaceDE w:val="0"/>
              <w:autoSpaceDN w:val="0"/>
              <w:adjustRightInd w:val="0"/>
              <w:spacing w:before="23" w:after="0" w:line="240" w:lineRule="auto"/>
              <w:ind w:left="107"/>
              <w:rPr>
                <w:rFonts w:ascii="Calibri" w:hAnsi="Calibri" w:cs="Calibri"/>
                <w:sz w:val="20"/>
                <w:szCs w:val="20"/>
              </w:rPr>
            </w:pPr>
            <w:r w:rsidRPr="00734172">
              <w:rPr>
                <w:rFonts w:ascii="Calibri" w:hAnsi="Calibri" w:cs="Calibri"/>
                <w:sz w:val="20"/>
                <w:szCs w:val="20"/>
              </w:rPr>
              <w:t>2. Citizenship / Eligible to Work</w:t>
            </w:r>
          </w:p>
        </w:tc>
        <w:tc>
          <w:tcPr>
            <w:tcW w:w="1118" w:type="dxa"/>
          </w:tcPr>
          <w:p w14:paraId="07A6D856" w14:textId="77777777" w:rsidR="00734172" w:rsidRPr="00734172" w:rsidRDefault="00734172" w:rsidP="00734172">
            <w:pPr>
              <w:kinsoku w:val="0"/>
              <w:overflowPunct w:val="0"/>
              <w:autoSpaceDE w:val="0"/>
              <w:autoSpaceDN w:val="0"/>
              <w:adjustRightInd w:val="0"/>
              <w:spacing w:before="16" w:after="0" w:line="252" w:lineRule="exact"/>
              <w:ind w:right="450"/>
              <w:jc w:val="right"/>
              <w:rPr>
                <w:rFonts w:ascii="MS Gothic" w:eastAsia="MS Gothic" w:hAnsi="Times New Roman" w:cs="MS Gothic"/>
                <w:w w:val="99"/>
                <w:sz w:val="20"/>
                <w:szCs w:val="20"/>
              </w:rPr>
            </w:pPr>
            <w:r w:rsidRPr="00734172">
              <w:rPr>
                <w:rFonts w:ascii="MS Gothic" w:eastAsia="MS Gothic" w:hAnsi="Times New Roman" w:cs="MS Gothic" w:hint="eastAsia"/>
                <w:w w:val="99"/>
                <w:sz w:val="20"/>
                <w:szCs w:val="20"/>
              </w:rPr>
              <w:t>☐</w:t>
            </w:r>
          </w:p>
        </w:tc>
        <w:tc>
          <w:tcPr>
            <w:tcW w:w="2896" w:type="dxa"/>
          </w:tcPr>
          <w:p w14:paraId="26C61FE1" w14:textId="77777777" w:rsidR="00734172" w:rsidRPr="00734172" w:rsidRDefault="00734172" w:rsidP="00734172">
            <w:pPr>
              <w:kinsoku w:val="0"/>
              <w:overflowPunct w:val="0"/>
              <w:autoSpaceDE w:val="0"/>
              <w:autoSpaceDN w:val="0"/>
              <w:adjustRightInd w:val="0"/>
              <w:spacing w:after="0" w:line="240" w:lineRule="auto"/>
              <w:rPr>
                <w:rFonts w:ascii="Times New Roman" w:hAnsi="Times New Roman" w:cs="Times New Roman"/>
                <w:sz w:val="20"/>
                <w:szCs w:val="20"/>
              </w:rPr>
            </w:pPr>
          </w:p>
        </w:tc>
      </w:tr>
      <w:tr w:rsidR="00734172" w:rsidRPr="00734172" w14:paraId="1E16D5D9" w14:textId="77777777" w:rsidTr="00171F76">
        <w:trPr>
          <w:trHeight w:val="777"/>
        </w:trPr>
        <w:tc>
          <w:tcPr>
            <w:tcW w:w="6746" w:type="dxa"/>
          </w:tcPr>
          <w:p w14:paraId="3878AC4E" w14:textId="77777777" w:rsidR="00734172" w:rsidRPr="00734172" w:rsidRDefault="00734172" w:rsidP="00734172">
            <w:pPr>
              <w:kinsoku w:val="0"/>
              <w:overflowPunct w:val="0"/>
              <w:autoSpaceDE w:val="0"/>
              <w:autoSpaceDN w:val="0"/>
              <w:adjustRightInd w:val="0"/>
              <w:spacing w:before="23" w:after="0" w:line="240" w:lineRule="auto"/>
              <w:ind w:left="107"/>
              <w:rPr>
                <w:rFonts w:ascii="Calibri" w:hAnsi="Calibri" w:cs="Calibri"/>
                <w:sz w:val="20"/>
                <w:szCs w:val="20"/>
              </w:rPr>
            </w:pPr>
            <w:r w:rsidRPr="00734172">
              <w:rPr>
                <w:rFonts w:ascii="Calibri" w:hAnsi="Calibri" w:cs="Calibri"/>
                <w:sz w:val="20"/>
                <w:szCs w:val="20"/>
              </w:rPr>
              <w:t>3. Selective Service Registration</w:t>
            </w:r>
          </w:p>
          <w:p w14:paraId="087703A2" w14:textId="77777777" w:rsidR="00734172" w:rsidRPr="00734172" w:rsidRDefault="00734172" w:rsidP="00734172">
            <w:pPr>
              <w:kinsoku w:val="0"/>
              <w:overflowPunct w:val="0"/>
              <w:autoSpaceDE w:val="0"/>
              <w:autoSpaceDN w:val="0"/>
              <w:adjustRightInd w:val="0"/>
              <w:spacing w:after="0" w:line="240" w:lineRule="auto"/>
              <w:ind w:left="4943" w:right="100" w:firstLine="619"/>
              <w:jc w:val="right"/>
              <w:rPr>
                <w:rFonts w:ascii="Calibri" w:hAnsi="Calibri" w:cs="Calibri"/>
                <w:sz w:val="20"/>
                <w:szCs w:val="20"/>
              </w:rPr>
            </w:pPr>
            <w:r w:rsidRPr="00734172">
              <w:rPr>
                <w:rFonts w:ascii="Calibri" w:hAnsi="Calibri" w:cs="Calibri"/>
                <w:sz w:val="20"/>
                <w:szCs w:val="20"/>
              </w:rPr>
              <w:t>N/A – female</w:t>
            </w:r>
            <w:r w:rsidRPr="00734172">
              <w:rPr>
                <w:rFonts w:ascii="Calibri" w:hAnsi="Calibri" w:cs="Calibri"/>
                <w:w w:val="99"/>
                <w:sz w:val="20"/>
                <w:szCs w:val="20"/>
              </w:rPr>
              <w:t xml:space="preserve"> </w:t>
            </w:r>
            <w:r w:rsidRPr="00734172">
              <w:rPr>
                <w:rFonts w:ascii="Calibri" w:hAnsi="Calibri" w:cs="Calibri"/>
                <w:sz w:val="20"/>
                <w:szCs w:val="20"/>
              </w:rPr>
              <w:t>N/A – male under 18</w:t>
            </w:r>
          </w:p>
        </w:tc>
        <w:tc>
          <w:tcPr>
            <w:tcW w:w="1118" w:type="dxa"/>
          </w:tcPr>
          <w:p w14:paraId="58D3026A" w14:textId="77777777" w:rsidR="00734172" w:rsidRPr="00734172" w:rsidRDefault="00734172" w:rsidP="00734172">
            <w:pPr>
              <w:kinsoku w:val="0"/>
              <w:overflowPunct w:val="0"/>
              <w:autoSpaceDE w:val="0"/>
              <w:autoSpaceDN w:val="0"/>
              <w:adjustRightInd w:val="0"/>
              <w:spacing w:before="1" w:after="0" w:line="240" w:lineRule="auto"/>
              <w:ind w:left="3"/>
              <w:jc w:val="center"/>
              <w:rPr>
                <w:rFonts w:ascii="MS Gothic" w:eastAsia="MS Gothic" w:hAnsi="Times New Roman" w:cs="MS Gothic"/>
                <w:w w:val="99"/>
                <w:sz w:val="20"/>
                <w:szCs w:val="20"/>
              </w:rPr>
            </w:pPr>
            <w:r w:rsidRPr="00734172">
              <w:rPr>
                <w:rFonts w:ascii="MS Gothic" w:eastAsia="MS Gothic" w:hAnsi="Times New Roman" w:cs="MS Gothic" w:hint="eastAsia"/>
                <w:w w:val="99"/>
                <w:sz w:val="20"/>
                <w:szCs w:val="20"/>
              </w:rPr>
              <w:t>☐</w:t>
            </w:r>
          </w:p>
          <w:p w14:paraId="32108EED" w14:textId="77777777" w:rsidR="00734172" w:rsidRPr="00734172" w:rsidRDefault="00734172" w:rsidP="00734172">
            <w:pPr>
              <w:kinsoku w:val="0"/>
              <w:overflowPunct w:val="0"/>
              <w:autoSpaceDE w:val="0"/>
              <w:autoSpaceDN w:val="0"/>
              <w:adjustRightInd w:val="0"/>
              <w:spacing w:before="3" w:after="0" w:line="240" w:lineRule="auto"/>
              <w:ind w:left="3"/>
              <w:jc w:val="center"/>
              <w:rPr>
                <w:rFonts w:ascii="MS Gothic" w:eastAsia="MS Gothic" w:hAnsi="Times New Roman" w:cs="MS Gothic"/>
                <w:w w:val="99"/>
                <w:sz w:val="20"/>
                <w:szCs w:val="20"/>
              </w:rPr>
            </w:pPr>
            <w:r w:rsidRPr="00734172">
              <w:rPr>
                <w:rFonts w:ascii="MS Gothic" w:eastAsia="MS Gothic" w:hAnsi="Times New Roman" w:cs="MS Gothic" w:hint="eastAsia"/>
                <w:w w:val="99"/>
                <w:sz w:val="20"/>
                <w:szCs w:val="20"/>
              </w:rPr>
              <w:t>☐</w:t>
            </w:r>
          </w:p>
          <w:p w14:paraId="4047DB96" w14:textId="77777777" w:rsidR="00734172" w:rsidRPr="00734172" w:rsidRDefault="00734172" w:rsidP="00734172">
            <w:pPr>
              <w:kinsoku w:val="0"/>
              <w:overflowPunct w:val="0"/>
              <w:autoSpaceDE w:val="0"/>
              <w:autoSpaceDN w:val="0"/>
              <w:adjustRightInd w:val="0"/>
              <w:spacing w:before="3" w:after="0" w:line="237" w:lineRule="exact"/>
              <w:ind w:left="3"/>
              <w:jc w:val="center"/>
              <w:rPr>
                <w:rFonts w:ascii="MS Gothic" w:eastAsia="MS Gothic" w:hAnsi="Times New Roman" w:cs="MS Gothic"/>
                <w:w w:val="99"/>
                <w:sz w:val="20"/>
                <w:szCs w:val="20"/>
              </w:rPr>
            </w:pPr>
            <w:r w:rsidRPr="00734172">
              <w:rPr>
                <w:rFonts w:ascii="MS Gothic" w:eastAsia="MS Gothic" w:hAnsi="Times New Roman" w:cs="MS Gothic" w:hint="eastAsia"/>
                <w:w w:val="99"/>
                <w:sz w:val="20"/>
                <w:szCs w:val="20"/>
              </w:rPr>
              <w:t>☐</w:t>
            </w:r>
          </w:p>
        </w:tc>
        <w:tc>
          <w:tcPr>
            <w:tcW w:w="2896" w:type="dxa"/>
          </w:tcPr>
          <w:p w14:paraId="1FBFD9E4" w14:textId="77777777" w:rsidR="00734172" w:rsidRPr="00734172" w:rsidRDefault="00734172" w:rsidP="00734172">
            <w:pPr>
              <w:kinsoku w:val="0"/>
              <w:overflowPunct w:val="0"/>
              <w:autoSpaceDE w:val="0"/>
              <w:autoSpaceDN w:val="0"/>
              <w:adjustRightInd w:val="0"/>
              <w:spacing w:after="0" w:line="240" w:lineRule="auto"/>
              <w:rPr>
                <w:rFonts w:ascii="Times New Roman" w:hAnsi="Times New Roman" w:cs="Times New Roman"/>
                <w:sz w:val="20"/>
                <w:szCs w:val="20"/>
              </w:rPr>
            </w:pPr>
          </w:p>
        </w:tc>
      </w:tr>
    </w:tbl>
    <w:p w14:paraId="6D16AD63" w14:textId="77777777" w:rsidR="00734172" w:rsidRPr="00734172" w:rsidRDefault="00734172" w:rsidP="00734172">
      <w:pPr>
        <w:kinsoku w:val="0"/>
        <w:overflowPunct w:val="0"/>
        <w:autoSpaceDE w:val="0"/>
        <w:autoSpaceDN w:val="0"/>
        <w:adjustRightInd w:val="0"/>
        <w:spacing w:before="12" w:after="0" w:line="240" w:lineRule="auto"/>
        <w:rPr>
          <w:rFonts w:ascii="Calibri" w:hAnsi="Calibri" w:cs="Calibri"/>
          <w:b/>
          <w:bCs/>
          <w:sz w:val="11"/>
          <w:szCs w:val="11"/>
        </w:rPr>
      </w:pPr>
    </w:p>
    <w:tbl>
      <w:tblPr>
        <w:tblW w:w="0" w:type="auto"/>
        <w:tblInd w:w="100"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770"/>
        <w:gridCol w:w="1128"/>
        <w:gridCol w:w="2863"/>
      </w:tblGrid>
      <w:tr w:rsidR="00734172" w:rsidRPr="00734172" w14:paraId="0836927A" w14:textId="77777777" w:rsidTr="00171F76">
        <w:trPr>
          <w:trHeight w:val="537"/>
        </w:trPr>
        <w:tc>
          <w:tcPr>
            <w:tcW w:w="6770" w:type="dxa"/>
            <w:shd w:val="clear" w:color="auto" w:fill="D9D9D9"/>
          </w:tcPr>
          <w:p w14:paraId="1A069AB7" w14:textId="77777777" w:rsidR="00734172" w:rsidRPr="00734172" w:rsidRDefault="00734172" w:rsidP="00734172">
            <w:pPr>
              <w:kinsoku w:val="0"/>
              <w:overflowPunct w:val="0"/>
              <w:autoSpaceDE w:val="0"/>
              <w:autoSpaceDN w:val="0"/>
              <w:adjustRightInd w:val="0"/>
              <w:spacing w:before="133" w:after="0" w:line="240" w:lineRule="auto"/>
              <w:ind w:left="1936"/>
              <w:rPr>
                <w:rFonts w:ascii="Calibri" w:hAnsi="Calibri" w:cs="Calibri"/>
                <w:b/>
                <w:bCs/>
              </w:rPr>
            </w:pPr>
            <w:r w:rsidRPr="00734172">
              <w:rPr>
                <w:rFonts w:ascii="Calibri" w:hAnsi="Calibri" w:cs="Calibri"/>
                <w:b/>
                <w:bCs/>
              </w:rPr>
              <w:t>Adult Priority of Service Criteria</w:t>
            </w:r>
          </w:p>
        </w:tc>
        <w:tc>
          <w:tcPr>
            <w:tcW w:w="1128" w:type="dxa"/>
            <w:shd w:val="clear" w:color="auto" w:fill="D9D9D9"/>
          </w:tcPr>
          <w:p w14:paraId="0A6A19C1" w14:textId="77777777" w:rsidR="00734172" w:rsidRPr="00734172" w:rsidRDefault="00734172" w:rsidP="00734172">
            <w:pPr>
              <w:kinsoku w:val="0"/>
              <w:overflowPunct w:val="0"/>
              <w:autoSpaceDE w:val="0"/>
              <w:autoSpaceDN w:val="0"/>
              <w:adjustRightInd w:val="0"/>
              <w:spacing w:after="0" w:line="268" w:lineRule="exact"/>
              <w:ind w:left="146"/>
              <w:rPr>
                <w:rFonts w:ascii="Calibri" w:hAnsi="Calibri" w:cs="Calibri"/>
                <w:b/>
                <w:bCs/>
              </w:rPr>
            </w:pPr>
            <w:r w:rsidRPr="00734172">
              <w:rPr>
                <w:rFonts w:ascii="Calibri" w:hAnsi="Calibri" w:cs="Calibri"/>
                <w:b/>
                <w:bCs/>
              </w:rPr>
              <w:t>Eligibility</w:t>
            </w:r>
          </w:p>
          <w:p w14:paraId="236AA83A" w14:textId="77777777" w:rsidR="00734172" w:rsidRPr="00734172" w:rsidRDefault="00734172" w:rsidP="00734172">
            <w:pPr>
              <w:kinsoku w:val="0"/>
              <w:overflowPunct w:val="0"/>
              <w:autoSpaceDE w:val="0"/>
              <w:autoSpaceDN w:val="0"/>
              <w:adjustRightInd w:val="0"/>
              <w:spacing w:after="0" w:line="249" w:lineRule="exact"/>
              <w:ind w:left="225"/>
              <w:rPr>
                <w:rFonts w:ascii="Calibri" w:hAnsi="Calibri" w:cs="Calibri"/>
                <w:b/>
                <w:bCs/>
              </w:rPr>
            </w:pPr>
            <w:r w:rsidRPr="00734172">
              <w:rPr>
                <w:rFonts w:ascii="Calibri" w:hAnsi="Calibri" w:cs="Calibri"/>
                <w:b/>
                <w:bCs/>
              </w:rPr>
              <w:t>Criteria</w:t>
            </w:r>
          </w:p>
        </w:tc>
        <w:tc>
          <w:tcPr>
            <w:tcW w:w="2863" w:type="dxa"/>
            <w:shd w:val="clear" w:color="auto" w:fill="D9D9D9"/>
          </w:tcPr>
          <w:p w14:paraId="4DC48BDE" w14:textId="77777777" w:rsidR="00734172" w:rsidRPr="00734172" w:rsidRDefault="00734172" w:rsidP="00734172">
            <w:pPr>
              <w:kinsoku w:val="0"/>
              <w:overflowPunct w:val="0"/>
              <w:autoSpaceDE w:val="0"/>
              <w:autoSpaceDN w:val="0"/>
              <w:adjustRightInd w:val="0"/>
              <w:spacing w:before="133" w:after="0" w:line="240" w:lineRule="auto"/>
              <w:ind w:left="261"/>
              <w:rPr>
                <w:rFonts w:ascii="Calibri" w:hAnsi="Calibri" w:cs="Calibri"/>
                <w:b/>
                <w:bCs/>
              </w:rPr>
            </w:pPr>
            <w:r w:rsidRPr="00734172">
              <w:rPr>
                <w:rFonts w:ascii="Calibri" w:hAnsi="Calibri" w:cs="Calibri"/>
                <w:b/>
                <w:bCs/>
              </w:rPr>
              <w:t>Documentation Uploaded</w:t>
            </w:r>
          </w:p>
        </w:tc>
      </w:tr>
      <w:tr w:rsidR="00734172" w:rsidRPr="00734172" w14:paraId="260C8182" w14:textId="77777777" w:rsidTr="00171F76">
        <w:trPr>
          <w:trHeight w:val="489"/>
        </w:trPr>
        <w:tc>
          <w:tcPr>
            <w:tcW w:w="6770" w:type="dxa"/>
          </w:tcPr>
          <w:p w14:paraId="309E0918" w14:textId="77777777" w:rsidR="00734172" w:rsidRPr="00734172" w:rsidRDefault="00734172" w:rsidP="00734172">
            <w:pPr>
              <w:kinsoku w:val="0"/>
              <w:overflowPunct w:val="0"/>
              <w:autoSpaceDE w:val="0"/>
              <w:autoSpaceDN w:val="0"/>
              <w:adjustRightInd w:val="0"/>
              <w:spacing w:before="1" w:after="0" w:line="240" w:lineRule="atLeast"/>
              <w:ind w:left="107" w:right="214"/>
              <w:rPr>
                <w:rFonts w:ascii="Calibri" w:hAnsi="Calibri" w:cs="Calibri"/>
                <w:sz w:val="20"/>
                <w:szCs w:val="20"/>
              </w:rPr>
            </w:pPr>
            <w:r w:rsidRPr="00734172">
              <w:rPr>
                <w:rFonts w:ascii="Calibri" w:hAnsi="Calibri" w:cs="Calibri"/>
                <w:sz w:val="20"/>
                <w:szCs w:val="20"/>
              </w:rPr>
              <w:t>1</w:t>
            </w:r>
            <w:r w:rsidRPr="00734172">
              <w:rPr>
                <w:rFonts w:ascii="Calibri" w:hAnsi="Calibri" w:cs="Calibri"/>
                <w:sz w:val="20"/>
                <w:szCs w:val="20"/>
                <w:vertAlign w:val="superscript"/>
              </w:rPr>
              <w:t>st</w:t>
            </w:r>
            <w:r w:rsidRPr="00734172">
              <w:rPr>
                <w:rFonts w:ascii="Calibri" w:hAnsi="Calibri" w:cs="Calibri"/>
                <w:sz w:val="20"/>
                <w:szCs w:val="20"/>
              </w:rPr>
              <w:t xml:space="preserve"> Priority – Veterans and Eligible Spouses who are also low-income, recipients of public assistance and/or basic skills deficient/English Language Learners</w:t>
            </w:r>
          </w:p>
        </w:tc>
        <w:tc>
          <w:tcPr>
            <w:tcW w:w="1128" w:type="dxa"/>
          </w:tcPr>
          <w:p w14:paraId="39CFAF17" w14:textId="77777777" w:rsidR="00734172" w:rsidRPr="00734172" w:rsidRDefault="00734172" w:rsidP="00734172">
            <w:pPr>
              <w:kinsoku w:val="0"/>
              <w:overflowPunct w:val="0"/>
              <w:autoSpaceDE w:val="0"/>
              <w:autoSpaceDN w:val="0"/>
              <w:adjustRightInd w:val="0"/>
              <w:spacing w:before="116" w:after="0" w:line="240" w:lineRule="auto"/>
              <w:ind w:left="463"/>
              <w:rPr>
                <w:rFonts w:ascii="MS Gothic" w:eastAsia="MS Gothic" w:hAnsi="Times New Roman" w:cs="MS Gothic"/>
                <w:w w:val="99"/>
                <w:sz w:val="20"/>
                <w:szCs w:val="20"/>
              </w:rPr>
            </w:pPr>
            <w:r w:rsidRPr="00734172">
              <w:rPr>
                <w:rFonts w:ascii="MS Gothic" w:eastAsia="MS Gothic" w:hAnsi="Times New Roman" w:cs="MS Gothic" w:hint="eastAsia"/>
                <w:w w:val="99"/>
                <w:sz w:val="20"/>
                <w:szCs w:val="20"/>
              </w:rPr>
              <w:t>☐</w:t>
            </w:r>
          </w:p>
        </w:tc>
        <w:tc>
          <w:tcPr>
            <w:tcW w:w="2863" w:type="dxa"/>
          </w:tcPr>
          <w:p w14:paraId="6F7CE93B" w14:textId="77777777" w:rsidR="00734172" w:rsidRPr="00734172" w:rsidRDefault="00734172" w:rsidP="00734172">
            <w:pPr>
              <w:kinsoku w:val="0"/>
              <w:overflowPunct w:val="0"/>
              <w:autoSpaceDE w:val="0"/>
              <w:autoSpaceDN w:val="0"/>
              <w:adjustRightInd w:val="0"/>
              <w:spacing w:after="0" w:line="240" w:lineRule="auto"/>
              <w:rPr>
                <w:rFonts w:ascii="Times New Roman" w:hAnsi="Times New Roman" w:cs="Times New Roman"/>
                <w:sz w:val="20"/>
                <w:szCs w:val="20"/>
              </w:rPr>
            </w:pPr>
          </w:p>
        </w:tc>
      </w:tr>
      <w:tr w:rsidR="00734172" w:rsidRPr="00734172" w14:paraId="136253C3" w14:textId="77777777" w:rsidTr="00171F76">
        <w:trPr>
          <w:trHeight w:val="489"/>
        </w:trPr>
        <w:tc>
          <w:tcPr>
            <w:tcW w:w="6770" w:type="dxa"/>
          </w:tcPr>
          <w:p w14:paraId="48D1227B" w14:textId="77777777" w:rsidR="00734172" w:rsidRPr="00734172" w:rsidRDefault="00734172" w:rsidP="00734172">
            <w:pPr>
              <w:kinsoku w:val="0"/>
              <w:overflowPunct w:val="0"/>
              <w:autoSpaceDE w:val="0"/>
              <w:autoSpaceDN w:val="0"/>
              <w:adjustRightInd w:val="0"/>
              <w:spacing w:before="1" w:after="0" w:line="240" w:lineRule="atLeast"/>
              <w:ind w:left="107" w:right="406"/>
              <w:rPr>
                <w:rFonts w:ascii="Calibri" w:hAnsi="Calibri" w:cs="Calibri"/>
                <w:sz w:val="20"/>
                <w:szCs w:val="20"/>
              </w:rPr>
            </w:pPr>
            <w:r w:rsidRPr="00734172">
              <w:rPr>
                <w:rFonts w:ascii="Calibri" w:hAnsi="Calibri" w:cs="Calibri"/>
                <w:sz w:val="20"/>
                <w:szCs w:val="20"/>
              </w:rPr>
              <w:lastRenderedPageBreak/>
              <w:t>2</w:t>
            </w:r>
            <w:r w:rsidRPr="00734172">
              <w:rPr>
                <w:rFonts w:ascii="Calibri" w:hAnsi="Calibri" w:cs="Calibri"/>
                <w:sz w:val="20"/>
                <w:szCs w:val="20"/>
                <w:vertAlign w:val="superscript"/>
              </w:rPr>
              <w:t>nd</w:t>
            </w:r>
            <w:r w:rsidRPr="00734172">
              <w:rPr>
                <w:rFonts w:ascii="Calibri" w:hAnsi="Calibri" w:cs="Calibri"/>
                <w:sz w:val="20"/>
                <w:szCs w:val="20"/>
              </w:rPr>
              <w:t xml:space="preserve"> Priority – Individuals (including Veterans) who are included in the Priority Populations* groups for WIOA Title I Adult Program.</w:t>
            </w:r>
          </w:p>
        </w:tc>
        <w:tc>
          <w:tcPr>
            <w:tcW w:w="1128" w:type="dxa"/>
          </w:tcPr>
          <w:p w14:paraId="1A24A2C0" w14:textId="77777777" w:rsidR="00734172" w:rsidRPr="00734172" w:rsidRDefault="00734172" w:rsidP="00734172">
            <w:pPr>
              <w:kinsoku w:val="0"/>
              <w:overflowPunct w:val="0"/>
              <w:autoSpaceDE w:val="0"/>
              <w:autoSpaceDN w:val="0"/>
              <w:adjustRightInd w:val="0"/>
              <w:spacing w:before="116" w:after="0" w:line="240" w:lineRule="auto"/>
              <w:ind w:left="463"/>
              <w:rPr>
                <w:rFonts w:ascii="MS Gothic" w:eastAsia="MS Gothic" w:hAnsi="Times New Roman" w:cs="MS Gothic"/>
                <w:w w:val="99"/>
                <w:sz w:val="20"/>
                <w:szCs w:val="20"/>
              </w:rPr>
            </w:pPr>
            <w:r w:rsidRPr="00734172">
              <w:rPr>
                <w:rFonts w:ascii="MS Gothic" w:eastAsia="MS Gothic" w:hAnsi="Times New Roman" w:cs="MS Gothic" w:hint="eastAsia"/>
                <w:w w:val="99"/>
                <w:sz w:val="20"/>
                <w:szCs w:val="20"/>
              </w:rPr>
              <w:t>☐</w:t>
            </w:r>
          </w:p>
        </w:tc>
        <w:tc>
          <w:tcPr>
            <w:tcW w:w="2863" w:type="dxa"/>
          </w:tcPr>
          <w:p w14:paraId="0A845FF8" w14:textId="77777777" w:rsidR="00734172" w:rsidRPr="00734172" w:rsidRDefault="00734172" w:rsidP="00734172">
            <w:pPr>
              <w:kinsoku w:val="0"/>
              <w:overflowPunct w:val="0"/>
              <w:autoSpaceDE w:val="0"/>
              <w:autoSpaceDN w:val="0"/>
              <w:adjustRightInd w:val="0"/>
              <w:spacing w:after="0" w:line="240" w:lineRule="auto"/>
              <w:rPr>
                <w:rFonts w:ascii="Times New Roman" w:hAnsi="Times New Roman" w:cs="Times New Roman"/>
                <w:sz w:val="20"/>
                <w:szCs w:val="20"/>
              </w:rPr>
            </w:pPr>
          </w:p>
        </w:tc>
      </w:tr>
      <w:tr w:rsidR="00734172" w:rsidRPr="00734172" w14:paraId="674AC309" w14:textId="77777777" w:rsidTr="00171F76">
        <w:trPr>
          <w:trHeight w:val="486"/>
        </w:trPr>
        <w:tc>
          <w:tcPr>
            <w:tcW w:w="6770" w:type="dxa"/>
          </w:tcPr>
          <w:p w14:paraId="3E3408D3" w14:textId="77777777" w:rsidR="00734172" w:rsidRPr="00734172" w:rsidRDefault="00734172" w:rsidP="00734172">
            <w:pPr>
              <w:kinsoku w:val="0"/>
              <w:overflowPunct w:val="0"/>
              <w:autoSpaceDE w:val="0"/>
              <w:autoSpaceDN w:val="0"/>
              <w:adjustRightInd w:val="0"/>
              <w:spacing w:after="0" w:line="243" w:lineRule="exact"/>
              <w:ind w:left="107"/>
              <w:rPr>
                <w:rFonts w:ascii="Calibri" w:hAnsi="Calibri" w:cs="Calibri"/>
                <w:sz w:val="20"/>
                <w:szCs w:val="20"/>
              </w:rPr>
            </w:pPr>
            <w:r w:rsidRPr="00734172">
              <w:rPr>
                <w:rFonts w:ascii="Calibri" w:hAnsi="Calibri" w:cs="Calibri"/>
                <w:sz w:val="20"/>
                <w:szCs w:val="20"/>
              </w:rPr>
              <w:t>3</w:t>
            </w:r>
            <w:r w:rsidRPr="00734172">
              <w:rPr>
                <w:rFonts w:ascii="Calibri" w:hAnsi="Calibri" w:cs="Calibri"/>
                <w:sz w:val="20"/>
                <w:szCs w:val="20"/>
                <w:vertAlign w:val="superscript"/>
              </w:rPr>
              <w:t>rd</w:t>
            </w:r>
            <w:r w:rsidRPr="00734172">
              <w:rPr>
                <w:rFonts w:ascii="Calibri" w:hAnsi="Calibri" w:cs="Calibri"/>
                <w:sz w:val="20"/>
                <w:szCs w:val="20"/>
              </w:rPr>
              <w:t xml:space="preserve"> Priority – Veterans and Eligible spouses who are not included in the Priority</w:t>
            </w:r>
          </w:p>
          <w:p w14:paraId="6D436E33" w14:textId="77777777" w:rsidR="00734172" w:rsidRPr="00734172" w:rsidRDefault="00734172" w:rsidP="00734172">
            <w:pPr>
              <w:kinsoku w:val="0"/>
              <w:overflowPunct w:val="0"/>
              <w:autoSpaceDE w:val="0"/>
              <w:autoSpaceDN w:val="0"/>
              <w:adjustRightInd w:val="0"/>
              <w:spacing w:after="0" w:line="223" w:lineRule="exact"/>
              <w:ind w:left="107"/>
              <w:rPr>
                <w:rFonts w:ascii="Calibri" w:hAnsi="Calibri" w:cs="Calibri"/>
                <w:sz w:val="20"/>
                <w:szCs w:val="20"/>
              </w:rPr>
            </w:pPr>
            <w:r w:rsidRPr="00734172">
              <w:rPr>
                <w:rFonts w:ascii="Calibri" w:hAnsi="Calibri" w:cs="Calibri"/>
                <w:sz w:val="20"/>
                <w:szCs w:val="20"/>
              </w:rPr>
              <w:t>Populations* groups.</w:t>
            </w:r>
          </w:p>
        </w:tc>
        <w:tc>
          <w:tcPr>
            <w:tcW w:w="1128" w:type="dxa"/>
          </w:tcPr>
          <w:p w14:paraId="4EE79BC7" w14:textId="77777777" w:rsidR="00734172" w:rsidRPr="00734172" w:rsidRDefault="00734172" w:rsidP="00734172">
            <w:pPr>
              <w:kinsoku w:val="0"/>
              <w:overflowPunct w:val="0"/>
              <w:autoSpaceDE w:val="0"/>
              <w:autoSpaceDN w:val="0"/>
              <w:adjustRightInd w:val="0"/>
              <w:spacing w:before="114" w:after="0" w:line="240" w:lineRule="auto"/>
              <w:ind w:left="463"/>
              <w:rPr>
                <w:rFonts w:ascii="MS Gothic" w:eastAsia="MS Gothic" w:hAnsi="Times New Roman" w:cs="MS Gothic"/>
                <w:w w:val="99"/>
                <w:sz w:val="20"/>
                <w:szCs w:val="20"/>
              </w:rPr>
            </w:pPr>
            <w:r w:rsidRPr="00734172">
              <w:rPr>
                <w:rFonts w:ascii="MS Gothic" w:eastAsia="MS Gothic" w:hAnsi="Times New Roman" w:cs="MS Gothic" w:hint="eastAsia"/>
                <w:w w:val="99"/>
                <w:sz w:val="20"/>
                <w:szCs w:val="20"/>
              </w:rPr>
              <w:t>☐</w:t>
            </w:r>
          </w:p>
        </w:tc>
        <w:tc>
          <w:tcPr>
            <w:tcW w:w="2863" w:type="dxa"/>
          </w:tcPr>
          <w:p w14:paraId="265007DF" w14:textId="77777777" w:rsidR="00734172" w:rsidRPr="00734172" w:rsidRDefault="00734172" w:rsidP="00734172">
            <w:pPr>
              <w:kinsoku w:val="0"/>
              <w:overflowPunct w:val="0"/>
              <w:autoSpaceDE w:val="0"/>
              <w:autoSpaceDN w:val="0"/>
              <w:adjustRightInd w:val="0"/>
              <w:spacing w:after="0" w:line="240" w:lineRule="auto"/>
              <w:rPr>
                <w:rFonts w:ascii="Times New Roman" w:hAnsi="Times New Roman" w:cs="Times New Roman"/>
                <w:sz w:val="20"/>
                <w:szCs w:val="20"/>
              </w:rPr>
            </w:pPr>
          </w:p>
        </w:tc>
      </w:tr>
      <w:tr w:rsidR="00734172" w:rsidRPr="00734172" w14:paraId="78D8D993" w14:textId="77777777" w:rsidTr="00171F76">
        <w:trPr>
          <w:trHeight w:val="278"/>
        </w:trPr>
        <w:tc>
          <w:tcPr>
            <w:tcW w:w="6770" w:type="dxa"/>
          </w:tcPr>
          <w:p w14:paraId="3A2925FC" w14:textId="77777777" w:rsidR="00734172" w:rsidRPr="00734172" w:rsidRDefault="00734172" w:rsidP="00734172">
            <w:pPr>
              <w:kinsoku w:val="0"/>
              <w:overflowPunct w:val="0"/>
              <w:autoSpaceDE w:val="0"/>
              <w:autoSpaceDN w:val="0"/>
              <w:adjustRightInd w:val="0"/>
              <w:spacing w:before="18" w:after="0" w:line="240" w:lineRule="exact"/>
              <w:ind w:left="107"/>
              <w:rPr>
                <w:rFonts w:ascii="Calibri" w:hAnsi="Calibri" w:cs="Calibri"/>
                <w:sz w:val="20"/>
                <w:szCs w:val="20"/>
              </w:rPr>
            </w:pPr>
            <w:r w:rsidRPr="00734172">
              <w:rPr>
                <w:rFonts w:ascii="Calibri" w:hAnsi="Calibri" w:cs="Calibri"/>
                <w:sz w:val="20"/>
                <w:szCs w:val="20"/>
              </w:rPr>
              <w:t>4</w:t>
            </w:r>
            <w:r w:rsidRPr="00734172">
              <w:rPr>
                <w:rFonts w:ascii="Calibri" w:hAnsi="Calibri" w:cs="Calibri"/>
                <w:sz w:val="20"/>
                <w:szCs w:val="20"/>
                <w:vertAlign w:val="superscript"/>
              </w:rPr>
              <w:t>th</w:t>
            </w:r>
            <w:r w:rsidRPr="00734172">
              <w:rPr>
                <w:rFonts w:ascii="Calibri" w:hAnsi="Calibri" w:cs="Calibri"/>
                <w:sz w:val="20"/>
                <w:szCs w:val="20"/>
              </w:rPr>
              <w:t xml:space="preserve"> Priority – Priority Populations established by the LWDB</w:t>
            </w:r>
          </w:p>
        </w:tc>
        <w:tc>
          <w:tcPr>
            <w:tcW w:w="1128" w:type="dxa"/>
          </w:tcPr>
          <w:p w14:paraId="57A2F5BC" w14:textId="77777777" w:rsidR="00734172" w:rsidRPr="00734172" w:rsidRDefault="00734172" w:rsidP="00734172">
            <w:pPr>
              <w:kinsoku w:val="0"/>
              <w:overflowPunct w:val="0"/>
              <w:autoSpaceDE w:val="0"/>
              <w:autoSpaceDN w:val="0"/>
              <w:adjustRightInd w:val="0"/>
              <w:spacing w:before="11" w:after="0" w:line="247" w:lineRule="exact"/>
              <w:ind w:left="463"/>
              <w:rPr>
                <w:rFonts w:ascii="MS Gothic" w:eastAsia="MS Gothic" w:hAnsi="Times New Roman" w:cs="MS Gothic"/>
                <w:w w:val="99"/>
                <w:sz w:val="20"/>
                <w:szCs w:val="20"/>
              </w:rPr>
            </w:pPr>
            <w:r w:rsidRPr="00734172">
              <w:rPr>
                <w:rFonts w:ascii="MS Gothic" w:eastAsia="MS Gothic" w:hAnsi="Times New Roman" w:cs="MS Gothic" w:hint="eastAsia"/>
                <w:w w:val="99"/>
                <w:sz w:val="20"/>
                <w:szCs w:val="20"/>
              </w:rPr>
              <w:t>☐</w:t>
            </w:r>
          </w:p>
        </w:tc>
        <w:tc>
          <w:tcPr>
            <w:tcW w:w="2863" w:type="dxa"/>
          </w:tcPr>
          <w:p w14:paraId="21BA0830" w14:textId="77777777" w:rsidR="00734172" w:rsidRPr="00734172" w:rsidRDefault="00734172" w:rsidP="00734172">
            <w:pPr>
              <w:kinsoku w:val="0"/>
              <w:overflowPunct w:val="0"/>
              <w:autoSpaceDE w:val="0"/>
              <w:autoSpaceDN w:val="0"/>
              <w:adjustRightInd w:val="0"/>
              <w:spacing w:after="0" w:line="240" w:lineRule="auto"/>
              <w:rPr>
                <w:rFonts w:ascii="Times New Roman" w:hAnsi="Times New Roman" w:cs="Times New Roman"/>
                <w:sz w:val="20"/>
                <w:szCs w:val="20"/>
              </w:rPr>
            </w:pPr>
          </w:p>
        </w:tc>
      </w:tr>
      <w:tr w:rsidR="00734172" w:rsidRPr="00734172" w14:paraId="547A56FD" w14:textId="77777777" w:rsidTr="00171F76">
        <w:trPr>
          <w:trHeight w:val="277"/>
        </w:trPr>
        <w:tc>
          <w:tcPr>
            <w:tcW w:w="6770" w:type="dxa"/>
          </w:tcPr>
          <w:p w14:paraId="321FC8D3" w14:textId="77777777" w:rsidR="00734172" w:rsidRPr="00734172" w:rsidRDefault="00734172" w:rsidP="00734172">
            <w:pPr>
              <w:kinsoku w:val="0"/>
              <w:overflowPunct w:val="0"/>
              <w:autoSpaceDE w:val="0"/>
              <w:autoSpaceDN w:val="0"/>
              <w:adjustRightInd w:val="0"/>
              <w:spacing w:before="18" w:after="0" w:line="240" w:lineRule="exact"/>
              <w:ind w:left="107"/>
              <w:rPr>
                <w:rFonts w:ascii="Calibri" w:hAnsi="Calibri" w:cs="Calibri"/>
                <w:sz w:val="20"/>
                <w:szCs w:val="20"/>
              </w:rPr>
            </w:pPr>
            <w:r w:rsidRPr="00734172">
              <w:rPr>
                <w:rFonts w:ascii="Calibri" w:hAnsi="Calibri" w:cs="Calibri"/>
                <w:sz w:val="20"/>
                <w:szCs w:val="20"/>
              </w:rPr>
              <w:t>5</w:t>
            </w:r>
            <w:r w:rsidRPr="00734172">
              <w:rPr>
                <w:rFonts w:ascii="Calibri" w:hAnsi="Calibri" w:cs="Calibri"/>
                <w:sz w:val="20"/>
                <w:szCs w:val="20"/>
                <w:vertAlign w:val="superscript"/>
              </w:rPr>
              <w:t>th</w:t>
            </w:r>
            <w:r w:rsidRPr="00734172">
              <w:rPr>
                <w:rFonts w:ascii="Calibri" w:hAnsi="Calibri" w:cs="Calibri"/>
                <w:sz w:val="20"/>
                <w:szCs w:val="20"/>
              </w:rPr>
              <w:t xml:space="preserve"> Priority – Individuals outside the groups given priority under WIOA</w:t>
            </w:r>
          </w:p>
        </w:tc>
        <w:tc>
          <w:tcPr>
            <w:tcW w:w="1128" w:type="dxa"/>
          </w:tcPr>
          <w:p w14:paraId="08681A33" w14:textId="77777777" w:rsidR="00734172" w:rsidRPr="00734172" w:rsidRDefault="00734172" w:rsidP="00734172">
            <w:pPr>
              <w:kinsoku w:val="0"/>
              <w:overflowPunct w:val="0"/>
              <w:autoSpaceDE w:val="0"/>
              <w:autoSpaceDN w:val="0"/>
              <w:adjustRightInd w:val="0"/>
              <w:spacing w:before="11" w:after="0" w:line="247" w:lineRule="exact"/>
              <w:ind w:left="463"/>
              <w:rPr>
                <w:rFonts w:ascii="MS Gothic" w:eastAsia="MS Gothic" w:hAnsi="Times New Roman" w:cs="MS Gothic"/>
                <w:w w:val="99"/>
                <w:sz w:val="20"/>
                <w:szCs w:val="20"/>
              </w:rPr>
            </w:pPr>
            <w:r w:rsidRPr="00734172">
              <w:rPr>
                <w:rFonts w:ascii="MS Gothic" w:eastAsia="MS Gothic" w:hAnsi="Times New Roman" w:cs="MS Gothic" w:hint="eastAsia"/>
                <w:w w:val="99"/>
                <w:sz w:val="20"/>
                <w:szCs w:val="20"/>
              </w:rPr>
              <w:t>☐</w:t>
            </w:r>
          </w:p>
        </w:tc>
        <w:tc>
          <w:tcPr>
            <w:tcW w:w="2863" w:type="dxa"/>
          </w:tcPr>
          <w:p w14:paraId="1CC1DE50" w14:textId="77777777" w:rsidR="00734172" w:rsidRPr="00734172" w:rsidRDefault="00734172" w:rsidP="00734172">
            <w:pPr>
              <w:kinsoku w:val="0"/>
              <w:overflowPunct w:val="0"/>
              <w:autoSpaceDE w:val="0"/>
              <w:autoSpaceDN w:val="0"/>
              <w:adjustRightInd w:val="0"/>
              <w:spacing w:after="0" w:line="240" w:lineRule="auto"/>
              <w:rPr>
                <w:rFonts w:ascii="Times New Roman" w:hAnsi="Times New Roman" w:cs="Times New Roman"/>
                <w:sz w:val="20"/>
                <w:szCs w:val="20"/>
              </w:rPr>
            </w:pPr>
          </w:p>
        </w:tc>
      </w:tr>
    </w:tbl>
    <w:p w14:paraId="7467FD07" w14:textId="77777777" w:rsidR="00734172" w:rsidRPr="00734172" w:rsidRDefault="00734172" w:rsidP="00734172">
      <w:pPr>
        <w:kinsoku w:val="0"/>
        <w:overflowPunct w:val="0"/>
        <w:autoSpaceDE w:val="0"/>
        <w:autoSpaceDN w:val="0"/>
        <w:adjustRightInd w:val="0"/>
        <w:spacing w:before="1" w:after="1" w:line="240" w:lineRule="auto"/>
        <w:rPr>
          <w:rFonts w:ascii="Calibri" w:hAnsi="Calibri" w:cs="Calibri"/>
          <w:b/>
          <w:bCs/>
          <w:sz w:val="14"/>
          <w:szCs w:val="14"/>
        </w:rPr>
      </w:pPr>
    </w:p>
    <w:tbl>
      <w:tblPr>
        <w:tblW w:w="0" w:type="auto"/>
        <w:tblInd w:w="100"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835"/>
        <w:gridCol w:w="1080"/>
        <w:gridCol w:w="2846"/>
      </w:tblGrid>
      <w:tr w:rsidR="00734172" w:rsidRPr="00734172" w14:paraId="0D3C754A" w14:textId="77777777" w:rsidTr="00171F76">
        <w:trPr>
          <w:trHeight w:val="537"/>
        </w:trPr>
        <w:tc>
          <w:tcPr>
            <w:tcW w:w="6835" w:type="dxa"/>
            <w:shd w:val="clear" w:color="auto" w:fill="D9D9D9"/>
          </w:tcPr>
          <w:p w14:paraId="5462DC92" w14:textId="77777777" w:rsidR="00734172" w:rsidRPr="00734172" w:rsidRDefault="00734172" w:rsidP="00734172">
            <w:pPr>
              <w:kinsoku w:val="0"/>
              <w:overflowPunct w:val="0"/>
              <w:autoSpaceDE w:val="0"/>
              <w:autoSpaceDN w:val="0"/>
              <w:adjustRightInd w:val="0"/>
              <w:spacing w:after="0" w:line="268" w:lineRule="exact"/>
              <w:ind w:left="1098" w:right="1085"/>
              <w:jc w:val="center"/>
              <w:rPr>
                <w:rFonts w:ascii="Calibri" w:hAnsi="Calibri" w:cs="Calibri"/>
                <w:b/>
                <w:bCs/>
              </w:rPr>
            </w:pPr>
            <w:r w:rsidRPr="00734172">
              <w:rPr>
                <w:rFonts w:ascii="Calibri" w:hAnsi="Calibri" w:cs="Calibri"/>
                <w:b/>
                <w:bCs/>
              </w:rPr>
              <w:t>Adult Priority Population Group Criteria</w:t>
            </w:r>
          </w:p>
          <w:p w14:paraId="6FB49D96" w14:textId="77777777" w:rsidR="00734172" w:rsidRPr="00734172" w:rsidRDefault="00734172" w:rsidP="00734172">
            <w:pPr>
              <w:kinsoku w:val="0"/>
              <w:overflowPunct w:val="0"/>
              <w:autoSpaceDE w:val="0"/>
              <w:autoSpaceDN w:val="0"/>
              <w:adjustRightInd w:val="0"/>
              <w:spacing w:after="0" w:line="249" w:lineRule="exact"/>
              <w:ind w:left="1098" w:right="1090"/>
              <w:jc w:val="center"/>
              <w:rPr>
                <w:rFonts w:ascii="Calibri" w:hAnsi="Calibri" w:cs="Calibri"/>
                <w:b/>
                <w:bCs/>
              </w:rPr>
            </w:pPr>
            <w:r w:rsidRPr="00734172">
              <w:rPr>
                <w:rFonts w:ascii="Calibri" w:hAnsi="Calibri" w:cs="Calibri"/>
                <w:b/>
                <w:bCs/>
              </w:rPr>
              <w:t>Must designate Eligibility Criteria for Priority 1 &amp; 2</w:t>
            </w:r>
          </w:p>
        </w:tc>
        <w:tc>
          <w:tcPr>
            <w:tcW w:w="1080" w:type="dxa"/>
            <w:shd w:val="clear" w:color="auto" w:fill="D9D9D9"/>
          </w:tcPr>
          <w:p w14:paraId="7F0E6771" w14:textId="77777777" w:rsidR="00734172" w:rsidRPr="00734172" w:rsidRDefault="00734172" w:rsidP="00734172">
            <w:pPr>
              <w:kinsoku w:val="0"/>
              <w:overflowPunct w:val="0"/>
              <w:autoSpaceDE w:val="0"/>
              <w:autoSpaceDN w:val="0"/>
              <w:adjustRightInd w:val="0"/>
              <w:spacing w:after="0" w:line="268" w:lineRule="exact"/>
              <w:ind w:left="122"/>
              <w:rPr>
                <w:rFonts w:ascii="Calibri" w:hAnsi="Calibri" w:cs="Calibri"/>
                <w:b/>
                <w:bCs/>
              </w:rPr>
            </w:pPr>
            <w:r w:rsidRPr="00734172">
              <w:rPr>
                <w:rFonts w:ascii="Calibri" w:hAnsi="Calibri" w:cs="Calibri"/>
                <w:b/>
                <w:bCs/>
              </w:rPr>
              <w:t>Eligibility</w:t>
            </w:r>
          </w:p>
          <w:p w14:paraId="66A3663D" w14:textId="77777777" w:rsidR="00734172" w:rsidRPr="00734172" w:rsidRDefault="00734172" w:rsidP="00734172">
            <w:pPr>
              <w:kinsoku w:val="0"/>
              <w:overflowPunct w:val="0"/>
              <w:autoSpaceDE w:val="0"/>
              <w:autoSpaceDN w:val="0"/>
              <w:adjustRightInd w:val="0"/>
              <w:spacing w:after="0" w:line="249" w:lineRule="exact"/>
              <w:ind w:left="201"/>
              <w:rPr>
                <w:rFonts w:ascii="Calibri" w:hAnsi="Calibri" w:cs="Calibri"/>
                <w:b/>
                <w:bCs/>
              </w:rPr>
            </w:pPr>
            <w:r w:rsidRPr="00734172">
              <w:rPr>
                <w:rFonts w:ascii="Calibri" w:hAnsi="Calibri" w:cs="Calibri"/>
                <w:b/>
                <w:bCs/>
              </w:rPr>
              <w:t>Criteria</w:t>
            </w:r>
          </w:p>
        </w:tc>
        <w:tc>
          <w:tcPr>
            <w:tcW w:w="2846" w:type="dxa"/>
            <w:shd w:val="clear" w:color="auto" w:fill="D9D9D9"/>
          </w:tcPr>
          <w:p w14:paraId="25962CAB" w14:textId="77777777" w:rsidR="00734172" w:rsidRPr="00734172" w:rsidRDefault="00734172" w:rsidP="00734172">
            <w:pPr>
              <w:kinsoku w:val="0"/>
              <w:overflowPunct w:val="0"/>
              <w:autoSpaceDE w:val="0"/>
              <w:autoSpaceDN w:val="0"/>
              <w:adjustRightInd w:val="0"/>
              <w:spacing w:before="133" w:after="0" w:line="240" w:lineRule="auto"/>
              <w:ind w:left="254"/>
              <w:rPr>
                <w:rFonts w:ascii="Calibri" w:hAnsi="Calibri" w:cs="Calibri"/>
                <w:b/>
                <w:bCs/>
              </w:rPr>
            </w:pPr>
            <w:r w:rsidRPr="00734172">
              <w:rPr>
                <w:rFonts w:ascii="Calibri" w:hAnsi="Calibri" w:cs="Calibri"/>
                <w:b/>
                <w:bCs/>
              </w:rPr>
              <w:t>Documentation Uploaded</w:t>
            </w:r>
          </w:p>
        </w:tc>
      </w:tr>
      <w:tr w:rsidR="00734172" w:rsidRPr="00734172" w14:paraId="503F0436" w14:textId="77777777" w:rsidTr="00171F76">
        <w:trPr>
          <w:trHeight w:val="287"/>
        </w:trPr>
        <w:tc>
          <w:tcPr>
            <w:tcW w:w="6835" w:type="dxa"/>
          </w:tcPr>
          <w:p w14:paraId="636C5133" w14:textId="77777777" w:rsidR="00734172" w:rsidRPr="00734172" w:rsidRDefault="00734172" w:rsidP="00734172">
            <w:pPr>
              <w:kinsoku w:val="0"/>
              <w:overflowPunct w:val="0"/>
              <w:autoSpaceDE w:val="0"/>
              <w:autoSpaceDN w:val="0"/>
              <w:adjustRightInd w:val="0"/>
              <w:spacing w:before="23" w:after="0" w:line="240" w:lineRule="auto"/>
              <w:ind w:left="107"/>
              <w:rPr>
                <w:rFonts w:ascii="Calibri" w:hAnsi="Calibri" w:cs="Calibri"/>
                <w:sz w:val="20"/>
                <w:szCs w:val="20"/>
              </w:rPr>
            </w:pPr>
            <w:r w:rsidRPr="00734172">
              <w:rPr>
                <w:rFonts w:ascii="Calibri" w:hAnsi="Calibri" w:cs="Calibri"/>
                <w:sz w:val="20"/>
                <w:szCs w:val="20"/>
              </w:rPr>
              <w:t>1. Low-income Individuals</w:t>
            </w:r>
          </w:p>
        </w:tc>
        <w:tc>
          <w:tcPr>
            <w:tcW w:w="1080" w:type="dxa"/>
          </w:tcPr>
          <w:p w14:paraId="4D741001" w14:textId="77777777" w:rsidR="00734172" w:rsidRPr="00734172" w:rsidRDefault="00734172" w:rsidP="00734172">
            <w:pPr>
              <w:kinsoku w:val="0"/>
              <w:overflowPunct w:val="0"/>
              <w:autoSpaceDE w:val="0"/>
              <w:autoSpaceDN w:val="0"/>
              <w:adjustRightInd w:val="0"/>
              <w:spacing w:before="15" w:after="0" w:line="252" w:lineRule="exact"/>
              <w:ind w:left="439"/>
              <w:rPr>
                <w:rFonts w:ascii="MS Gothic" w:eastAsia="MS Gothic" w:hAnsi="Times New Roman" w:cs="MS Gothic"/>
                <w:w w:val="99"/>
                <w:sz w:val="20"/>
                <w:szCs w:val="20"/>
              </w:rPr>
            </w:pPr>
            <w:r w:rsidRPr="00734172">
              <w:rPr>
                <w:rFonts w:ascii="MS Gothic" w:eastAsia="MS Gothic" w:hAnsi="Times New Roman" w:cs="MS Gothic" w:hint="eastAsia"/>
                <w:w w:val="99"/>
                <w:sz w:val="20"/>
                <w:szCs w:val="20"/>
              </w:rPr>
              <w:t>☐</w:t>
            </w:r>
          </w:p>
        </w:tc>
        <w:tc>
          <w:tcPr>
            <w:tcW w:w="2846" w:type="dxa"/>
          </w:tcPr>
          <w:p w14:paraId="7896E794" w14:textId="77777777" w:rsidR="00734172" w:rsidRPr="00734172" w:rsidRDefault="00734172" w:rsidP="00734172">
            <w:pPr>
              <w:kinsoku w:val="0"/>
              <w:overflowPunct w:val="0"/>
              <w:autoSpaceDE w:val="0"/>
              <w:autoSpaceDN w:val="0"/>
              <w:adjustRightInd w:val="0"/>
              <w:spacing w:after="0" w:line="240" w:lineRule="auto"/>
              <w:rPr>
                <w:rFonts w:ascii="Times New Roman" w:hAnsi="Times New Roman" w:cs="Times New Roman"/>
                <w:sz w:val="20"/>
                <w:szCs w:val="20"/>
              </w:rPr>
            </w:pPr>
          </w:p>
        </w:tc>
      </w:tr>
      <w:tr w:rsidR="00734172" w:rsidRPr="00734172" w14:paraId="3C73105C" w14:textId="77777777" w:rsidTr="00171F76">
        <w:trPr>
          <w:trHeight w:val="287"/>
        </w:trPr>
        <w:tc>
          <w:tcPr>
            <w:tcW w:w="6835" w:type="dxa"/>
          </w:tcPr>
          <w:p w14:paraId="1C9177BE" w14:textId="77777777" w:rsidR="00734172" w:rsidRPr="00734172" w:rsidRDefault="00734172" w:rsidP="00734172">
            <w:pPr>
              <w:kinsoku w:val="0"/>
              <w:overflowPunct w:val="0"/>
              <w:autoSpaceDE w:val="0"/>
              <w:autoSpaceDN w:val="0"/>
              <w:adjustRightInd w:val="0"/>
              <w:spacing w:before="23" w:after="0" w:line="240" w:lineRule="auto"/>
              <w:ind w:left="107"/>
              <w:rPr>
                <w:rFonts w:ascii="Calibri" w:hAnsi="Calibri" w:cs="Calibri"/>
                <w:sz w:val="20"/>
                <w:szCs w:val="20"/>
              </w:rPr>
            </w:pPr>
            <w:r w:rsidRPr="00734172">
              <w:rPr>
                <w:rFonts w:ascii="Calibri" w:hAnsi="Calibri" w:cs="Calibri"/>
                <w:sz w:val="20"/>
                <w:szCs w:val="20"/>
              </w:rPr>
              <w:t>2. Individuals with disabilities</w:t>
            </w:r>
          </w:p>
        </w:tc>
        <w:tc>
          <w:tcPr>
            <w:tcW w:w="1080" w:type="dxa"/>
          </w:tcPr>
          <w:p w14:paraId="13AB6BA0" w14:textId="77777777" w:rsidR="00734172" w:rsidRPr="00734172" w:rsidRDefault="00734172" w:rsidP="00734172">
            <w:pPr>
              <w:kinsoku w:val="0"/>
              <w:overflowPunct w:val="0"/>
              <w:autoSpaceDE w:val="0"/>
              <w:autoSpaceDN w:val="0"/>
              <w:adjustRightInd w:val="0"/>
              <w:spacing w:before="16" w:after="0" w:line="252" w:lineRule="exact"/>
              <w:ind w:left="439"/>
              <w:rPr>
                <w:rFonts w:ascii="MS Gothic" w:eastAsia="MS Gothic" w:hAnsi="Times New Roman" w:cs="MS Gothic"/>
                <w:w w:val="99"/>
                <w:sz w:val="20"/>
                <w:szCs w:val="20"/>
              </w:rPr>
            </w:pPr>
            <w:r w:rsidRPr="00734172">
              <w:rPr>
                <w:rFonts w:ascii="MS Gothic" w:eastAsia="MS Gothic" w:hAnsi="Times New Roman" w:cs="MS Gothic" w:hint="eastAsia"/>
                <w:w w:val="99"/>
                <w:sz w:val="20"/>
                <w:szCs w:val="20"/>
              </w:rPr>
              <w:t>☐</w:t>
            </w:r>
          </w:p>
        </w:tc>
        <w:tc>
          <w:tcPr>
            <w:tcW w:w="2846" w:type="dxa"/>
          </w:tcPr>
          <w:p w14:paraId="324C840F" w14:textId="77777777" w:rsidR="00734172" w:rsidRPr="00734172" w:rsidRDefault="00734172" w:rsidP="00734172">
            <w:pPr>
              <w:kinsoku w:val="0"/>
              <w:overflowPunct w:val="0"/>
              <w:autoSpaceDE w:val="0"/>
              <w:autoSpaceDN w:val="0"/>
              <w:adjustRightInd w:val="0"/>
              <w:spacing w:after="0" w:line="240" w:lineRule="auto"/>
              <w:rPr>
                <w:rFonts w:ascii="Times New Roman" w:hAnsi="Times New Roman" w:cs="Times New Roman"/>
                <w:sz w:val="20"/>
                <w:szCs w:val="20"/>
              </w:rPr>
            </w:pPr>
          </w:p>
        </w:tc>
      </w:tr>
      <w:tr w:rsidR="00734172" w:rsidRPr="00734172" w14:paraId="129D6C3E" w14:textId="77777777" w:rsidTr="00171F76">
        <w:trPr>
          <w:trHeight w:val="277"/>
        </w:trPr>
        <w:tc>
          <w:tcPr>
            <w:tcW w:w="6835" w:type="dxa"/>
          </w:tcPr>
          <w:p w14:paraId="25477C41" w14:textId="77777777" w:rsidR="00734172" w:rsidRPr="00734172" w:rsidRDefault="00734172" w:rsidP="00734172">
            <w:pPr>
              <w:kinsoku w:val="0"/>
              <w:overflowPunct w:val="0"/>
              <w:autoSpaceDE w:val="0"/>
              <w:autoSpaceDN w:val="0"/>
              <w:adjustRightInd w:val="0"/>
              <w:spacing w:before="18" w:after="0" w:line="240" w:lineRule="exact"/>
              <w:ind w:left="107"/>
              <w:rPr>
                <w:rFonts w:ascii="Calibri" w:hAnsi="Calibri" w:cs="Calibri"/>
                <w:sz w:val="20"/>
                <w:szCs w:val="20"/>
              </w:rPr>
            </w:pPr>
            <w:r w:rsidRPr="00734172">
              <w:rPr>
                <w:rFonts w:ascii="Calibri" w:hAnsi="Calibri" w:cs="Calibri"/>
                <w:sz w:val="20"/>
                <w:szCs w:val="20"/>
              </w:rPr>
              <w:t>3. Homeless Individuals</w:t>
            </w:r>
          </w:p>
        </w:tc>
        <w:tc>
          <w:tcPr>
            <w:tcW w:w="1080" w:type="dxa"/>
          </w:tcPr>
          <w:p w14:paraId="4276937E" w14:textId="77777777" w:rsidR="00734172" w:rsidRPr="00734172" w:rsidRDefault="00734172" w:rsidP="00734172">
            <w:pPr>
              <w:kinsoku w:val="0"/>
              <w:overflowPunct w:val="0"/>
              <w:autoSpaceDE w:val="0"/>
              <w:autoSpaceDN w:val="0"/>
              <w:adjustRightInd w:val="0"/>
              <w:spacing w:before="11" w:after="0" w:line="247" w:lineRule="exact"/>
              <w:ind w:left="439"/>
              <w:rPr>
                <w:rFonts w:ascii="MS Gothic" w:eastAsia="MS Gothic" w:hAnsi="Times New Roman" w:cs="MS Gothic"/>
                <w:w w:val="99"/>
                <w:sz w:val="20"/>
                <w:szCs w:val="20"/>
              </w:rPr>
            </w:pPr>
            <w:r w:rsidRPr="00734172">
              <w:rPr>
                <w:rFonts w:ascii="MS Gothic" w:eastAsia="MS Gothic" w:hAnsi="Times New Roman" w:cs="MS Gothic" w:hint="eastAsia"/>
                <w:w w:val="99"/>
                <w:sz w:val="20"/>
                <w:szCs w:val="20"/>
              </w:rPr>
              <w:t>☐</w:t>
            </w:r>
          </w:p>
        </w:tc>
        <w:tc>
          <w:tcPr>
            <w:tcW w:w="2846" w:type="dxa"/>
          </w:tcPr>
          <w:p w14:paraId="5A05265C" w14:textId="77777777" w:rsidR="00734172" w:rsidRPr="00734172" w:rsidRDefault="00734172" w:rsidP="00734172">
            <w:pPr>
              <w:kinsoku w:val="0"/>
              <w:overflowPunct w:val="0"/>
              <w:autoSpaceDE w:val="0"/>
              <w:autoSpaceDN w:val="0"/>
              <w:adjustRightInd w:val="0"/>
              <w:spacing w:after="0" w:line="240" w:lineRule="auto"/>
              <w:rPr>
                <w:rFonts w:ascii="Times New Roman" w:hAnsi="Times New Roman" w:cs="Times New Roman"/>
                <w:sz w:val="20"/>
                <w:szCs w:val="20"/>
              </w:rPr>
            </w:pPr>
          </w:p>
        </w:tc>
      </w:tr>
      <w:tr w:rsidR="00734172" w:rsidRPr="00734172" w14:paraId="01375DAE" w14:textId="77777777" w:rsidTr="00171F76">
        <w:trPr>
          <w:trHeight w:val="278"/>
        </w:trPr>
        <w:tc>
          <w:tcPr>
            <w:tcW w:w="6835" w:type="dxa"/>
          </w:tcPr>
          <w:p w14:paraId="3C4E51AD" w14:textId="77777777" w:rsidR="00734172" w:rsidRPr="00734172" w:rsidRDefault="00734172" w:rsidP="00734172">
            <w:pPr>
              <w:kinsoku w:val="0"/>
              <w:overflowPunct w:val="0"/>
              <w:autoSpaceDE w:val="0"/>
              <w:autoSpaceDN w:val="0"/>
              <w:adjustRightInd w:val="0"/>
              <w:spacing w:before="18" w:after="0" w:line="240" w:lineRule="exact"/>
              <w:ind w:left="107"/>
              <w:rPr>
                <w:rFonts w:ascii="Calibri" w:hAnsi="Calibri" w:cs="Calibri"/>
                <w:sz w:val="20"/>
                <w:szCs w:val="20"/>
              </w:rPr>
            </w:pPr>
            <w:r w:rsidRPr="00734172">
              <w:rPr>
                <w:rFonts w:ascii="Calibri" w:hAnsi="Calibri" w:cs="Calibri"/>
                <w:sz w:val="20"/>
                <w:szCs w:val="20"/>
              </w:rPr>
              <w:t>4. Native Americans, Alaska Natives, and Native Hawaiians</w:t>
            </w:r>
          </w:p>
        </w:tc>
        <w:tc>
          <w:tcPr>
            <w:tcW w:w="1080" w:type="dxa"/>
          </w:tcPr>
          <w:p w14:paraId="23A03ACF" w14:textId="77777777" w:rsidR="00734172" w:rsidRPr="00734172" w:rsidRDefault="00734172" w:rsidP="00734172">
            <w:pPr>
              <w:kinsoku w:val="0"/>
              <w:overflowPunct w:val="0"/>
              <w:autoSpaceDE w:val="0"/>
              <w:autoSpaceDN w:val="0"/>
              <w:adjustRightInd w:val="0"/>
              <w:spacing w:before="11" w:after="0" w:line="247" w:lineRule="exact"/>
              <w:ind w:left="439"/>
              <w:rPr>
                <w:rFonts w:ascii="MS Gothic" w:eastAsia="MS Gothic" w:hAnsi="Times New Roman" w:cs="MS Gothic"/>
                <w:w w:val="99"/>
                <w:sz w:val="20"/>
                <w:szCs w:val="20"/>
              </w:rPr>
            </w:pPr>
            <w:r w:rsidRPr="00734172">
              <w:rPr>
                <w:rFonts w:ascii="MS Gothic" w:eastAsia="MS Gothic" w:hAnsi="Times New Roman" w:cs="MS Gothic" w:hint="eastAsia"/>
                <w:w w:val="99"/>
                <w:sz w:val="20"/>
                <w:szCs w:val="20"/>
              </w:rPr>
              <w:t>☐</w:t>
            </w:r>
          </w:p>
        </w:tc>
        <w:tc>
          <w:tcPr>
            <w:tcW w:w="2846" w:type="dxa"/>
          </w:tcPr>
          <w:p w14:paraId="54FCCC53" w14:textId="77777777" w:rsidR="00734172" w:rsidRPr="00734172" w:rsidRDefault="00734172" w:rsidP="00734172">
            <w:pPr>
              <w:kinsoku w:val="0"/>
              <w:overflowPunct w:val="0"/>
              <w:autoSpaceDE w:val="0"/>
              <w:autoSpaceDN w:val="0"/>
              <w:adjustRightInd w:val="0"/>
              <w:spacing w:after="0" w:line="240" w:lineRule="auto"/>
              <w:rPr>
                <w:rFonts w:ascii="Times New Roman" w:hAnsi="Times New Roman" w:cs="Times New Roman"/>
                <w:sz w:val="20"/>
                <w:szCs w:val="20"/>
              </w:rPr>
            </w:pPr>
          </w:p>
        </w:tc>
      </w:tr>
      <w:tr w:rsidR="00734172" w:rsidRPr="00734172" w14:paraId="19522F79" w14:textId="77777777" w:rsidTr="00171F76">
        <w:trPr>
          <w:trHeight w:val="277"/>
        </w:trPr>
        <w:tc>
          <w:tcPr>
            <w:tcW w:w="6835" w:type="dxa"/>
          </w:tcPr>
          <w:p w14:paraId="4411814D" w14:textId="77777777" w:rsidR="00734172" w:rsidRPr="00734172" w:rsidRDefault="00734172" w:rsidP="00734172">
            <w:pPr>
              <w:kinsoku w:val="0"/>
              <w:overflowPunct w:val="0"/>
              <w:autoSpaceDE w:val="0"/>
              <w:autoSpaceDN w:val="0"/>
              <w:adjustRightInd w:val="0"/>
              <w:spacing w:before="18" w:after="0" w:line="240" w:lineRule="exact"/>
              <w:ind w:left="107"/>
              <w:rPr>
                <w:rFonts w:ascii="Calibri" w:hAnsi="Calibri" w:cs="Calibri"/>
                <w:sz w:val="20"/>
                <w:szCs w:val="20"/>
              </w:rPr>
            </w:pPr>
            <w:r w:rsidRPr="00734172">
              <w:rPr>
                <w:rFonts w:ascii="Calibri" w:hAnsi="Calibri" w:cs="Calibri"/>
                <w:sz w:val="20"/>
                <w:szCs w:val="20"/>
              </w:rPr>
              <w:t>5. Older Individuals (age 55 and older)</w:t>
            </w:r>
          </w:p>
        </w:tc>
        <w:tc>
          <w:tcPr>
            <w:tcW w:w="1080" w:type="dxa"/>
          </w:tcPr>
          <w:p w14:paraId="6E9A3D70" w14:textId="77777777" w:rsidR="00734172" w:rsidRPr="00734172" w:rsidRDefault="00734172" w:rsidP="00734172">
            <w:pPr>
              <w:kinsoku w:val="0"/>
              <w:overflowPunct w:val="0"/>
              <w:autoSpaceDE w:val="0"/>
              <w:autoSpaceDN w:val="0"/>
              <w:adjustRightInd w:val="0"/>
              <w:spacing w:before="11" w:after="0" w:line="247" w:lineRule="exact"/>
              <w:ind w:left="439"/>
              <w:rPr>
                <w:rFonts w:ascii="MS Gothic" w:eastAsia="MS Gothic" w:hAnsi="Times New Roman" w:cs="MS Gothic"/>
                <w:w w:val="99"/>
                <w:sz w:val="20"/>
                <w:szCs w:val="20"/>
              </w:rPr>
            </w:pPr>
            <w:r w:rsidRPr="00734172">
              <w:rPr>
                <w:rFonts w:ascii="MS Gothic" w:eastAsia="MS Gothic" w:hAnsi="Times New Roman" w:cs="MS Gothic" w:hint="eastAsia"/>
                <w:w w:val="99"/>
                <w:sz w:val="20"/>
                <w:szCs w:val="20"/>
              </w:rPr>
              <w:t>☐</w:t>
            </w:r>
          </w:p>
        </w:tc>
        <w:tc>
          <w:tcPr>
            <w:tcW w:w="2846" w:type="dxa"/>
          </w:tcPr>
          <w:p w14:paraId="2E33EE85" w14:textId="77777777" w:rsidR="00734172" w:rsidRPr="00734172" w:rsidRDefault="00734172" w:rsidP="00734172">
            <w:pPr>
              <w:kinsoku w:val="0"/>
              <w:overflowPunct w:val="0"/>
              <w:autoSpaceDE w:val="0"/>
              <w:autoSpaceDN w:val="0"/>
              <w:adjustRightInd w:val="0"/>
              <w:spacing w:after="0" w:line="240" w:lineRule="auto"/>
              <w:rPr>
                <w:rFonts w:ascii="Times New Roman" w:hAnsi="Times New Roman" w:cs="Times New Roman"/>
                <w:sz w:val="20"/>
                <w:szCs w:val="20"/>
              </w:rPr>
            </w:pPr>
          </w:p>
        </w:tc>
      </w:tr>
      <w:tr w:rsidR="00734172" w:rsidRPr="00734172" w14:paraId="69564C88" w14:textId="77777777" w:rsidTr="00171F76">
        <w:trPr>
          <w:trHeight w:val="277"/>
        </w:trPr>
        <w:tc>
          <w:tcPr>
            <w:tcW w:w="6835" w:type="dxa"/>
          </w:tcPr>
          <w:p w14:paraId="00F3EF8E" w14:textId="77777777" w:rsidR="00734172" w:rsidRPr="00734172" w:rsidRDefault="00734172" w:rsidP="00734172">
            <w:pPr>
              <w:kinsoku w:val="0"/>
              <w:overflowPunct w:val="0"/>
              <w:autoSpaceDE w:val="0"/>
              <w:autoSpaceDN w:val="0"/>
              <w:adjustRightInd w:val="0"/>
              <w:spacing w:before="18" w:after="0" w:line="240" w:lineRule="exact"/>
              <w:ind w:left="107"/>
              <w:rPr>
                <w:rFonts w:ascii="Calibri" w:hAnsi="Calibri" w:cs="Calibri"/>
                <w:sz w:val="20"/>
                <w:szCs w:val="20"/>
              </w:rPr>
            </w:pPr>
            <w:r w:rsidRPr="00734172">
              <w:rPr>
                <w:rFonts w:ascii="Calibri" w:hAnsi="Calibri" w:cs="Calibri"/>
                <w:sz w:val="20"/>
                <w:szCs w:val="20"/>
              </w:rPr>
              <w:t>6. Ex-offenders</w:t>
            </w:r>
          </w:p>
        </w:tc>
        <w:tc>
          <w:tcPr>
            <w:tcW w:w="1080" w:type="dxa"/>
          </w:tcPr>
          <w:p w14:paraId="2939CFB6" w14:textId="77777777" w:rsidR="00734172" w:rsidRPr="00734172" w:rsidRDefault="00734172" w:rsidP="00734172">
            <w:pPr>
              <w:kinsoku w:val="0"/>
              <w:overflowPunct w:val="0"/>
              <w:autoSpaceDE w:val="0"/>
              <w:autoSpaceDN w:val="0"/>
              <w:adjustRightInd w:val="0"/>
              <w:spacing w:before="11" w:after="0" w:line="247" w:lineRule="exact"/>
              <w:ind w:left="439"/>
              <w:rPr>
                <w:rFonts w:ascii="MS Gothic" w:eastAsia="MS Gothic" w:hAnsi="Times New Roman" w:cs="MS Gothic"/>
                <w:w w:val="99"/>
                <w:sz w:val="20"/>
                <w:szCs w:val="20"/>
              </w:rPr>
            </w:pPr>
            <w:r w:rsidRPr="00734172">
              <w:rPr>
                <w:rFonts w:ascii="MS Gothic" w:eastAsia="MS Gothic" w:hAnsi="Times New Roman" w:cs="MS Gothic" w:hint="eastAsia"/>
                <w:w w:val="99"/>
                <w:sz w:val="20"/>
                <w:szCs w:val="20"/>
              </w:rPr>
              <w:t>☐</w:t>
            </w:r>
          </w:p>
        </w:tc>
        <w:tc>
          <w:tcPr>
            <w:tcW w:w="2846" w:type="dxa"/>
          </w:tcPr>
          <w:p w14:paraId="29E24AA4" w14:textId="77777777" w:rsidR="00734172" w:rsidRPr="00734172" w:rsidRDefault="00734172" w:rsidP="00734172">
            <w:pPr>
              <w:kinsoku w:val="0"/>
              <w:overflowPunct w:val="0"/>
              <w:autoSpaceDE w:val="0"/>
              <w:autoSpaceDN w:val="0"/>
              <w:adjustRightInd w:val="0"/>
              <w:spacing w:after="0" w:line="240" w:lineRule="auto"/>
              <w:rPr>
                <w:rFonts w:ascii="Times New Roman" w:hAnsi="Times New Roman" w:cs="Times New Roman"/>
                <w:sz w:val="20"/>
                <w:szCs w:val="20"/>
              </w:rPr>
            </w:pPr>
          </w:p>
        </w:tc>
      </w:tr>
      <w:tr w:rsidR="00734172" w:rsidRPr="00734172" w14:paraId="4E4B9967" w14:textId="77777777" w:rsidTr="00171F76">
        <w:trPr>
          <w:trHeight w:val="278"/>
        </w:trPr>
        <w:tc>
          <w:tcPr>
            <w:tcW w:w="6835" w:type="dxa"/>
          </w:tcPr>
          <w:p w14:paraId="2EC2E286" w14:textId="77777777" w:rsidR="00734172" w:rsidRPr="00734172" w:rsidRDefault="00734172" w:rsidP="00734172">
            <w:pPr>
              <w:kinsoku w:val="0"/>
              <w:overflowPunct w:val="0"/>
              <w:autoSpaceDE w:val="0"/>
              <w:autoSpaceDN w:val="0"/>
              <w:adjustRightInd w:val="0"/>
              <w:spacing w:before="18" w:after="0" w:line="240" w:lineRule="exact"/>
              <w:ind w:left="107"/>
              <w:rPr>
                <w:rFonts w:ascii="Calibri" w:hAnsi="Calibri" w:cs="Calibri"/>
                <w:sz w:val="20"/>
                <w:szCs w:val="20"/>
              </w:rPr>
            </w:pPr>
            <w:r w:rsidRPr="00734172">
              <w:rPr>
                <w:rFonts w:ascii="Calibri" w:hAnsi="Calibri" w:cs="Calibri"/>
                <w:sz w:val="20"/>
                <w:szCs w:val="20"/>
              </w:rPr>
              <w:t>7. Individuals who are English language learners</w:t>
            </w:r>
          </w:p>
        </w:tc>
        <w:tc>
          <w:tcPr>
            <w:tcW w:w="1080" w:type="dxa"/>
          </w:tcPr>
          <w:p w14:paraId="0578FA10" w14:textId="77777777" w:rsidR="00734172" w:rsidRPr="00734172" w:rsidRDefault="00734172" w:rsidP="00734172">
            <w:pPr>
              <w:kinsoku w:val="0"/>
              <w:overflowPunct w:val="0"/>
              <w:autoSpaceDE w:val="0"/>
              <w:autoSpaceDN w:val="0"/>
              <w:adjustRightInd w:val="0"/>
              <w:spacing w:before="11" w:after="0" w:line="247" w:lineRule="exact"/>
              <w:ind w:left="439"/>
              <w:rPr>
                <w:rFonts w:ascii="MS Gothic" w:eastAsia="MS Gothic" w:hAnsi="Times New Roman" w:cs="MS Gothic"/>
                <w:w w:val="99"/>
                <w:sz w:val="20"/>
                <w:szCs w:val="20"/>
              </w:rPr>
            </w:pPr>
            <w:r w:rsidRPr="00734172">
              <w:rPr>
                <w:rFonts w:ascii="MS Gothic" w:eastAsia="MS Gothic" w:hAnsi="Times New Roman" w:cs="MS Gothic" w:hint="eastAsia"/>
                <w:w w:val="99"/>
                <w:sz w:val="20"/>
                <w:szCs w:val="20"/>
              </w:rPr>
              <w:t>☐</w:t>
            </w:r>
          </w:p>
        </w:tc>
        <w:tc>
          <w:tcPr>
            <w:tcW w:w="2846" w:type="dxa"/>
          </w:tcPr>
          <w:p w14:paraId="0D1DE0F4" w14:textId="77777777" w:rsidR="00734172" w:rsidRPr="00734172" w:rsidRDefault="00734172" w:rsidP="00734172">
            <w:pPr>
              <w:kinsoku w:val="0"/>
              <w:overflowPunct w:val="0"/>
              <w:autoSpaceDE w:val="0"/>
              <w:autoSpaceDN w:val="0"/>
              <w:adjustRightInd w:val="0"/>
              <w:spacing w:after="0" w:line="240" w:lineRule="auto"/>
              <w:rPr>
                <w:rFonts w:ascii="Times New Roman" w:hAnsi="Times New Roman" w:cs="Times New Roman"/>
                <w:sz w:val="20"/>
                <w:szCs w:val="20"/>
              </w:rPr>
            </w:pPr>
          </w:p>
        </w:tc>
      </w:tr>
      <w:tr w:rsidR="00734172" w:rsidRPr="00734172" w14:paraId="2A050F6D" w14:textId="77777777" w:rsidTr="009C1B9A">
        <w:trPr>
          <w:trHeight w:val="332"/>
        </w:trPr>
        <w:tc>
          <w:tcPr>
            <w:tcW w:w="6835" w:type="dxa"/>
          </w:tcPr>
          <w:p w14:paraId="4548D710" w14:textId="77777777" w:rsidR="00734172" w:rsidRPr="00734172" w:rsidRDefault="00734172" w:rsidP="00734172">
            <w:pPr>
              <w:kinsoku w:val="0"/>
              <w:overflowPunct w:val="0"/>
              <w:autoSpaceDE w:val="0"/>
              <w:autoSpaceDN w:val="0"/>
              <w:adjustRightInd w:val="0"/>
              <w:spacing w:before="18" w:after="0" w:line="240" w:lineRule="exact"/>
              <w:ind w:left="107"/>
              <w:rPr>
                <w:rFonts w:ascii="Calibri" w:hAnsi="Calibri" w:cs="Calibri"/>
                <w:sz w:val="20"/>
                <w:szCs w:val="20"/>
              </w:rPr>
            </w:pPr>
            <w:r w:rsidRPr="00734172">
              <w:rPr>
                <w:rFonts w:ascii="Calibri" w:hAnsi="Calibri" w:cs="Calibri"/>
                <w:sz w:val="20"/>
                <w:szCs w:val="20"/>
              </w:rPr>
              <w:t>8. Individuals who have low levels of literacy</w:t>
            </w:r>
          </w:p>
        </w:tc>
        <w:tc>
          <w:tcPr>
            <w:tcW w:w="1080" w:type="dxa"/>
          </w:tcPr>
          <w:p w14:paraId="166F6811" w14:textId="77777777" w:rsidR="00734172" w:rsidRPr="00734172" w:rsidRDefault="00734172" w:rsidP="00734172">
            <w:pPr>
              <w:kinsoku w:val="0"/>
              <w:overflowPunct w:val="0"/>
              <w:autoSpaceDE w:val="0"/>
              <w:autoSpaceDN w:val="0"/>
              <w:adjustRightInd w:val="0"/>
              <w:spacing w:before="11" w:after="0" w:line="247" w:lineRule="exact"/>
              <w:ind w:left="439"/>
              <w:rPr>
                <w:rFonts w:ascii="MS Gothic" w:eastAsia="MS Gothic" w:hAnsi="Times New Roman" w:cs="MS Gothic"/>
                <w:w w:val="99"/>
                <w:sz w:val="20"/>
                <w:szCs w:val="20"/>
              </w:rPr>
            </w:pPr>
            <w:r w:rsidRPr="00734172">
              <w:rPr>
                <w:rFonts w:ascii="MS Gothic" w:eastAsia="MS Gothic" w:hAnsi="Times New Roman" w:cs="MS Gothic" w:hint="eastAsia"/>
                <w:w w:val="99"/>
                <w:sz w:val="20"/>
                <w:szCs w:val="20"/>
              </w:rPr>
              <w:t>☐</w:t>
            </w:r>
          </w:p>
        </w:tc>
        <w:tc>
          <w:tcPr>
            <w:tcW w:w="2846" w:type="dxa"/>
          </w:tcPr>
          <w:p w14:paraId="4AF81331" w14:textId="77777777" w:rsidR="00734172" w:rsidRPr="00734172" w:rsidRDefault="00734172" w:rsidP="00734172">
            <w:pPr>
              <w:kinsoku w:val="0"/>
              <w:overflowPunct w:val="0"/>
              <w:autoSpaceDE w:val="0"/>
              <w:autoSpaceDN w:val="0"/>
              <w:adjustRightInd w:val="0"/>
              <w:spacing w:after="0" w:line="240" w:lineRule="auto"/>
              <w:rPr>
                <w:rFonts w:ascii="Times New Roman" w:hAnsi="Times New Roman" w:cs="Times New Roman"/>
                <w:sz w:val="20"/>
                <w:szCs w:val="20"/>
              </w:rPr>
            </w:pPr>
          </w:p>
        </w:tc>
      </w:tr>
      <w:tr w:rsidR="00734172" w:rsidRPr="00734172" w14:paraId="129FEE34" w14:textId="77777777" w:rsidTr="00171F76">
        <w:trPr>
          <w:trHeight w:val="278"/>
        </w:trPr>
        <w:tc>
          <w:tcPr>
            <w:tcW w:w="6835" w:type="dxa"/>
          </w:tcPr>
          <w:p w14:paraId="1F2D8D29" w14:textId="77777777" w:rsidR="00734172" w:rsidRPr="00734172" w:rsidRDefault="00734172" w:rsidP="00734172">
            <w:pPr>
              <w:kinsoku w:val="0"/>
              <w:overflowPunct w:val="0"/>
              <w:autoSpaceDE w:val="0"/>
              <w:autoSpaceDN w:val="0"/>
              <w:adjustRightInd w:val="0"/>
              <w:spacing w:before="18" w:after="0" w:line="240" w:lineRule="exact"/>
              <w:ind w:left="107"/>
              <w:rPr>
                <w:rFonts w:ascii="Calibri" w:hAnsi="Calibri" w:cs="Calibri"/>
                <w:sz w:val="20"/>
                <w:szCs w:val="20"/>
              </w:rPr>
            </w:pPr>
            <w:r w:rsidRPr="00734172">
              <w:rPr>
                <w:rFonts w:ascii="Calibri" w:hAnsi="Calibri" w:cs="Calibri"/>
                <w:sz w:val="20"/>
                <w:szCs w:val="20"/>
              </w:rPr>
              <w:t>9. Individuals facing substantial cultural barriers</w:t>
            </w:r>
          </w:p>
        </w:tc>
        <w:tc>
          <w:tcPr>
            <w:tcW w:w="1080" w:type="dxa"/>
          </w:tcPr>
          <w:p w14:paraId="318D1917" w14:textId="77777777" w:rsidR="00734172" w:rsidRPr="00734172" w:rsidRDefault="00734172" w:rsidP="00734172">
            <w:pPr>
              <w:kinsoku w:val="0"/>
              <w:overflowPunct w:val="0"/>
              <w:autoSpaceDE w:val="0"/>
              <w:autoSpaceDN w:val="0"/>
              <w:adjustRightInd w:val="0"/>
              <w:spacing w:before="11" w:after="0" w:line="247" w:lineRule="exact"/>
              <w:ind w:left="439"/>
              <w:rPr>
                <w:rFonts w:ascii="MS Gothic" w:eastAsia="MS Gothic" w:hAnsi="Times New Roman" w:cs="MS Gothic"/>
                <w:w w:val="99"/>
                <w:sz w:val="20"/>
                <w:szCs w:val="20"/>
              </w:rPr>
            </w:pPr>
            <w:r w:rsidRPr="00734172">
              <w:rPr>
                <w:rFonts w:ascii="MS Gothic" w:eastAsia="MS Gothic" w:hAnsi="Times New Roman" w:cs="MS Gothic" w:hint="eastAsia"/>
                <w:w w:val="99"/>
                <w:sz w:val="20"/>
                <w:szCs w:val="20"/>
              </w:rPr>
              <w:t>☐</w:t>
            </w:r>
          </w:p>
        </w:tc>
        <w:tc>
          <w:tcPr>
            <w:tcW w:w="2846" w:type="dxa"/>
          </w:tcPr>
          <w:p w14:paraId="0D084DDE" w14:textId="77777777" w:rsidR="00734172" w:rsidRPr="00734172" w:rsidRDefault="00734172" w:rsidP="00734172">
            <w:pPr>
              <w:kinsoku w:val="0"/>
              <w:overflowPunct w:val="0"/>
              <w:autoSpaceDE w:val="0"/>
              <w:autoSpaceDN w:val="0"/>
              <w:adjustRightInd w:val="0"/>
              <w:spacing w:after="0" w:line="240" w:lineRule="auto"/>
              <w:rPr>
                <w:rFonts w:ascii="Times New Roman" w:hAnsi="Times New Roman" w:cs="Times New Roman"/>
                <w:sz w:val="20"/>
                <w:szCs w:val="20"/>
              </w:rPr>
            </w:pPr>
          </w:p>
        </w:tc>
      </w:tr>
      <w:tr w:rsidR="00734172" w:rsidRPr="00734172" w14:paraId="606B3A6E" w14:textId="77777777" w:rsidTr="00171F76">
        <w:trPr>
          <w:trHeight w:val="277"/>
        </w:trPr>
        <w:tc>
          <w:tcPr>
            <w:tcW w:w="6835" w:type="dxa"/>
          </w:tcPr>
          <w:p w14:paraId="1C820F58" w14:textId="77777777" w:rsidR="00734172" w:rsidRPr="00734172" w:rsidRDefault="00734172" w:rsidP="00734172">
            <w:pPr>
              <w:kinsoku w:val="0"/>
              <w:overflowPunct w:val="0"/>
              <w:autoSpaceDE w:val="0"/>
              <w:autoSpaceDN w:val="0"/>
              <w:adjustRightInd w:val="0"/>
              <w:spacing w:before="18" w:after="0" w:line="240" w:lineRule="exact"/>
              <w:ind w:left="107"/>
              <w:rPr>
                <w:rFonts w:ascii="Calibri" w:hAnsi="Calibri" w:cs="Calibri"/>
                <w:sz w:val="20"/>
                <w:szCs w:val="20"/>
              </w:rPr>
            </w:pPr>
            <w:r w:rsidRPr="00734172">
              <w:rPr>
                <w:rFonts w:ascii="Calibri" w:hAnsi="Calibri" w:cs="Calibri"/>
                <w:sz w:val="20"/>
                <w:szCs w:val="20"/>
              </w:rPr>
              <w:t>10. Eligible migrant and seasonal farmworkers</w:t>
            </w:r>
          </w:p>
        </w:tc>
        <w:tc>
          <w:tcPr>
            <w:tcW w:w="1080" w:type="dxa"/>
          </w:tcPr>
          <w:p w14:paraId="44935D43" w14:textId="77777777" w:rsidR="00734172" w:rsidRPr="00734172" w:rsidRDefault="00734172" w:rsidP="00734172">
            <w:pPr>
              <w:kinsoku w:val="0"/>
              <w:overflowPunct w:val="0"/>
              <w:autoSpaceDE w:val="0"/>
              <w:autoSpaceDN w:val="0"/>
              <w:adjustRightInd w:val="0"/>
              <w:spacing w:before="11" w:after="0" w:line="247" w:lineRule="exact"/>
              <w:ind w:left="439"/>
              <w:rPr>
                <w:rFonts w:ascii="MS Gothic" w:eastAsia="MS Gothic" w:hAnsi="Times New Roman" w:cs="MS Gothic"/>
                <w:w w:val="99"/>
                <w:sz w:val="20"/>
                <w:szCs w:val="20"/>
              </w:rPr>
            </w:pPr>
            <w:r w:rsidRPr="00734172">
              <w:rPr>
                <w:rFonts w:ascii="MS Gothic" w:eastAsia="MS Gothic" w:hAnsi="Times New Roman" w:cs="MS Gothic" w:hint="eastAsia"/>
                <w:w w:val="99"/>
                <w:sz w:val="20"/>
                <w:szCs w:val="20"/>
              </w:rPr>
              <w:t>☐</w:t>
            </w:r>
          </w:p>
        </w:tc>
        <w:tc>
          <w:tcPr>
            <w:tcW w:w="2846" w:type="dxa"/>
          </w:tcPr>
          <w:p w14:paraId="646DB951" w14:textId="77777777" w:rsidR="00734172" w:rsidRPr="00734172" w:rsidRDefault="00734172" w:rsidP="00734172">
            <w:pPr>
              <w:kinsoku w:val="0"/>
              <w:overflowPunct w:val="0"/>
              <w:autoSpaceDE w:val="0"/>
              <w:autoSpaceDN w:val="0"/>
              <w:adjustRightInd w:val="0"/>
              <w:spacing w:after="0" w:line="240" w:lineRule="auto"/>
              <w:rPr>
                <w:rFonts w:ascii="Times New Roman" w:hAnsi="Times New Roman" w:cs="Times New Roman"/>
                <w:sz w:val="20"/>
                <w:szCs w:val="20"/>
              </w:rPr>
            </w:pPr>
          </w:p>
        </w:tc>
      </w:tr>
      <w:tr w:rsidR="00734172" w:rsidRPr="00734172" w14:paraId="160D6783" w14:textId="77777777" w:rsidTr="00171F76">
        <w:trPr>
          <w:trHeight w:val="278"/>
        </w:trPr>
        <w:tc>
          <w:tcPr>
            <w:tcW w:w="6835" w:type="dxa"/>
          </w:tcPr>
          <w:p w14:paraId="0CAD7E48" w14:textId="77777777" w:rsidR="00734172" w:rsidRPr="00734172" w:rsidRDefault="00734172" w:rsidP="00734172">
            <w:pPr>
              <w:kinsoku w:val="0"/>
              <w:overflowPunct w:val="0"/>
              <w:autoSpaceDE w:val="0"/>
              <w:autoSpaceDN w:val="0"/>
              <w:adjustRightInd w:val="0"/>
              <w:spacing w:before="18" w:after="0" w:line="240" w:lineRule="exact"/>
              <w:ind w:left="107"/>
              <w:rPr>
                <w:rFonts w:ascii="Calibri" w:hAnsi="Calibri" w:cs="Calibri"/>
                <w:sz w:val="20"/>
                <w:szCs w:val="20"/>
              </w:rPr>
            </w:pPr>
            <w:r w:rsidRPr="00734172">
              <w:rPr>
                <w:rFonts w:ascii="Calibri" w:hAnsi="Calibri" w:cs="Calibri"/>
                <w:sz w:val="20"/>
                <w:szCs w:val="20"/>
              </w:rPr>
              <w:t>11. Individuals within two years of exhausting lifetime TANF eligibility</w:t>
            </w:r>
          </w:p>
        </w:tc>
        <w:tc>
          <w:tcPr>
            <w:tcW w:w="1080" w:type="dxa"/>
          </w:tcPr>
          <w:p w14:paraId="76D24E58" w14:textId="77777777" w:rsidR="00734172" w:rsidRPr="00734172" w:rsidRDefault="00734172" w:rsidP="00734172">
            <w:pPr>
              <w:kinsoku w:val="0"/>
              <w:overflowPunct w:val="0"/>
              <w:autoSpaceDE w:val="0"/>
              <w:autoSpaceDN w:val="0"/>
              <w:adjustRightInd w:val="0"/>
              <w:spacing w:before="11" w:after="0" w:line="247" w:lineRule="exact"/>
              <w:ind w:left="439"/>
              <w:rPr>
                <w:rFonts w:ascii="MS Gothic" w:eastAsia="MS Gothic" w:hAnsi="Times New Roman" w:cs="MS Gothic"/>
                <w:w w:val="99"/>
                <w:sz w:val="20"/>
                <w:szCs w:val="20"/>
              </w:rPr>
            </w:pPr>
            <w:r w:rsidRPr="00734172">
              <w:rPr>
                <w:rFonts w:ascii="MS Gothic" w:eastAsia="MS Gothic" w:hAnsi="Times New Roman" w:cs="MS Gothic" w:hint="eastAsia"/>
                <w:w w:val="99"/>
                <w:sz w:val="20"/>
                <w:szCs w:val="20"/>
              </w:rPr>
              <w:t>☐</w:t>
            </w:r>
          </w:p>
        </w:tc>
        <w:tc>
          <w:tcPr>
            <w:tcW w:w="2846" w:type="dxa"/>
          </w:tcPr>
          <w:p w14:paraId="7D147D07" w14:textId="77777777" w:rsidR="00734172" w:rsidRPr="00734172" w:rsidRDefault="00734172" w:rsidP="00734172">
            <w:pPr>
              <w:kinsoku w:val="0"/>
              <w:overflowPunct w:val="0"/>
              <w:autoSpaceDE w:val="0"/>
              <w:autoSpaceDN w:val="0"/>
              <w:adjustRightInd w:val="0"/>
              <w:spacing w:after="0" w:line="240" w:lineRule="auto"/>
              <w:rPr>
                <w:rFonts w:ascii="Times New Roman" w:hAnsi="Times New Roman" w:cs="Times New Roman"/>
                <w:sz w:val="20"/>
                <w:szCs w:val="20"/>
              </w:rPr>
            </w:pPr>
          </w:p>
        </w:tc>
      </w:tr>
      <w:tr w:rsidR="00734172" w:rsidRPr="00734172" w14:paraId="22FDC0BA" w14:textId="77777777" w:rsidTr="00171F76">
        <w:trPr>
          <w:trHeight w:val="277"/>
        </w:trPr>
        <w:tc>
          <w:tcPr>
            <w:tcW w:w="6835" w:type="dxa"/>
          </w:tcPr>
          <w:p w14:paraId="1B48CAB5" w14:textId="77777777" w:rsidR="00734172" w:rsidRPr="00734172" w:rsidRDefault="00734172" w:rsidP="00734172">
            <w:pPr>
              <w:kinsoku w:val="0"/>
              <w:overflowPunct w:val="0"/>
              <w:autoSpaceDE w:val="0"/>
              <w:autoSpaceDN w:val="0"/>
              <w:adjustRightInd w:val="0"/>
              <w:spacing w:before="18" w:after="0" w:line="240" w:lineRule="exact"/>
              <w:ind w:left="107"/>
              <w:rPr>
                <w:rFonts w:ascii="Calibri" w:hAnsi="Calibri" w:cs="Calibri"/>
                <w:sz w:val="20"/>
                <w:szCs w:val="20"/>
              </w:rPr>
            </w:pPr>
            <w:r w:rsidRPr="00734172">
              <w:rPr>
                <w:rFonts w:ascii="Calibri" w:hAnsi="Calibri" w:cs="Calibri"/>
                <w:sz w:val="20"/>
                <w:szCs w:val="20"/>
              </w:rPr>
              <w:t>12. Single Parents (including single pregnant women)</w:t>
            </w:r>
          </w:p>
        </w:tc>
        <w:tc>
          <w:tcPr>
            <w:tcW w:w="1080" w:type="dxa"/>
          </w:tcPr>
          <w:p w14:paraId="52954B7C" w14:textId="77777777" w:rsidR="00734172" w:rsidRPr="00734172" w:rsidRDefault="00734172" w:rsidP="00734172">
            <w:pPr>
              <w:kinsoku w:val="0"/>
              <w:overflowPunct w:val="0"/>
              <w:autoSpaceDE w:val="0"/>
              <w:autoSpaceDN w:val="0"/>
              <w:adjustRightInd w:val="0"/>
              <w:spacing w:before="11" w:after="0" w:line="247" w:lineRule="exact"/>
              <w:ind w:left="439"/>
              <w:rPr>
                <w:rFonts w:ascii="MS Gothic" w:eastAsia="MS Gothic" w:hAnsi="Times New Roman" w:cs="MS Gothic"/>
                <w:w w:val="99"/>
                <w:sz w:val="20"/>
                <w:szCs w:val="20"/>
              </w:rPr>
            </w:pPr>
            <w:r w:rsidRPr="00734172">
              <w:rPr>
                <w:rFonts w:ascii="MS Gothic" w:eastAsia="MS Gothic" w:hAnsi="Times New Roman" w:cs="MS Gothic" w:hint="eastAsia"/>
                <w:w w:val="99"/>
                <w:sz w:val="20"/>
                <w:szCs w:val="20"/>
              </w:rPr>
              <w:t>☐</w:t>
            </w:r>
          </w:p>
        </w:tc>
        <w:tc>
          <w:tcPr>
            <w:tcW w:w="2846" w:type="dxa"/>
          </w:tcPr>
          <w:p w14:paraId="447DA3B2" w14:textId="77777777" w:rsidR="00734172" w:rsidRPr="00734172" w:rsidRDefault="00734172" w:rsidP="00734172">
            <w:pPr>
              <w:kinsoku w:val="0"/>
              <w:overflowPunct w:val="0"/>
              <w:autoSpaceDE w:val="0"/>
              <w:autoSpaceDN w:val="0"/>
              <w:adjustRightInd w:val="0"/>
              <w:spacing w:after="0" w:line="240" w:lineRule="auto"/>
              <w:rPr>
                <w:rFonts w:ascii="Times New Roman" w:hAnsi="Times New Roman" w:cs="Times New Roman"/>
                <w:sz w:val="20"/>
                <w:szCs w:val="20"/>
              </w:rPr>
            </w:pPr>
          </w:p>
        </w:tc>
      </w:tr>
      <w:tr w:rsidR="00734172" w:rsidRPr="00734172" w14:paraId="6E5F18E1" w14:textId="77777777" w:rsidTr="00171F76">
        <w:trPr>
          <w:trHeight w:val="277"/>
        </w:trPr>
        <w:tc>
          <w:tcPr>
            <w:tcW w:w="6835" w:type="dxa"/>
          </w:tcPr>
          <w:p w14:paraId="7BD769F9" w14:textId="77777777" w:rsidR="00734172" w:rsidRPr="00734172" w:rsidRDefault="00734172" w:rsidP="00734172">
            <w:pPr>
              <w:kinsoku w:val="0"/>
              <w:overflowPunct w:val="0"/>
              <w:autoSpaceDE w:val="0"/>
              <w:autoSpaceDN w:val="0"/>
              <w:adjustRightInd w:val="0"/>
              <w:spacing w:before="18" w:after="0" w:line="240" w:lineRule="exact"/>
              <w:ind w:left="107"/>
              <w:rPr>
                <w:rFonts w:ascii="Calibri" w:hAnsi="Calibri" w:cs="Calibri"/>
                <w:sz w:val="20"/>
                <w:szCs w:val="20"/>
              </w:rPr>
            </w:pPr>
            <w:r w:rsidRPr="00734172">
              <w:rPr>
                <w:rFonts w:ascii="Calibri" w:hAnsi="Calibri" w:cs="Calibri"/>
                <w:sz w:val="20"/>
                <w:szCs w:val="20"/>
              </w:rPr>
              <w:t>13. Long-term unemployed individuals (27 or more consecutive weeks)</w:t>
            </w:r>
          </w:p>
        </w:tc>
        <w:tc>
          <w:tcPr>
            <w:tcW w:w="1080" w:type="dxa"/>
          </w:tcPr>
          <w:p w14:paraId="12095D76" w14:textId="77777777" w:rsidR="00734172" w:rsidRPr="00734172" w:rsidRDefault="00734172" w:rsidP="00734172">
            <w:pPr>
              <w:kinsoku w:val="0"/>
              <w:overflowPunct w:val="0"/>
              <w:autoSpaceDE w:val="0"/>
              <w:autoSpaceDN w:val="0"/>
              <w:adjustRightInd w:val="0"/>
              <w:spacing w:before="11" w:after="0" w:line="247" w:lineRule="exact"/>
              <w:ind w:left="439"/>
              <w:rPr>
                <w:rFonts w:ascii="MS Gothic" w:eastAsia="MS Gothic" w:hAnsi="Times New Roman" w:cs="MS Gothic"/>
                <w:w w:val="99"/>
                <w:sz w:val="20"/>
                <w:szCs w:val="20"/>
              </w:rPr>
            </w:pPr>
            <w:r w:rsidRPr="00734172">
              <w:rPr>
                <w:rFonts w:ascii="MS Gothic" w:eastAsia="MS Gothic" w:hAnsi="Times New Roman" w:cs="MS Gothic" w:hint="eastAsia"/>
                <w:w w:val="99"/>
                <w:sz w:val="20"/>
                <w:szCs w:val="20"/>
              </w:rPr>
              <w:t>☐</w:t>
            </w:r>
          </w:p>
        </w:tc>
        <w:tc>
          <w:tcPr>
            <w:tcW w:w="2846" w:type="dxa"/>
          </w:tcPr>
          <w:p w14:paraId="0C532FD8" w14:textId="77777777" w:rsidR="00734172" w:rsidRPr="00734172" w:rsidRDefault="00734172" w:rsidP="00734172">
            <w:pPr>
              <w:kinsoku w:val="0"/>
              <w:overflowPunct w:val="0"/>
              <w:autoSpaceDE w:val="0"/>
              <w:autoSpaceDN w:val="0"/>
              <w:adjustRightInd w:val="0"/>
              <w:spacing w:after="0" w:line="240" w:lineRule="auto"/>
              <w:rPr>
                <w:rFonts w:ascii="Times New Roman" w:hAnsi="Times New Roman" w:cs="Times New Roman"/>
                <w:sz w:val="20"/>
                <w:szCs w:val="20"/>
              </w:rPr>
            </w:pPr>
          </w:p>
        </w:tc>
      </w:tr>
      <w:tr w:rsidR="00734172" w:rsidRPr="00734172" w14:paraId="0E3DCDC1" w14:textId="77777777" w:rsidTr="00171F76">
        <w:trPr>
          <w:trHeight w:val="278"/>
        </w:trPr>
        <w:tc>
          <w:tcPr>
            <w:tcW w:w="6835" w:type="dxa"/>
          </w:tcPr>
          <w:p w14:paraId="514A5E68" w14:textId="77777777" w:rsidR="00734172" w:rsidRPr="00734172" w:rsidRDefault="00734172" w:rsidP="00734172">
            <w:pPr>
              <w:kinsoku w:val="0"/>
              <w:overflowPunct w:val="0"/>
              <w:autoSpaceDE w:val="0"/>
              <w:autoSpaceDN w:val="0"/>
              <w:adjustRightInd w:val="0"/>
              <w:spacing w:before="18" w:after="0" w:line="240" w:lineRule="exact"/>
              <w:ind w:left="107"/>
              <w:rPr>
                <w:rFonts w:ascii="Calibri" w:hAnsi="Calibri" w:cs="Calibri"/>
                <w:sz w:val="20"/>
                <w:szCs w:val="20"/>
              </w:rPr>
            </w:pPr>
            <w:r w:rsidRPr="00734172">
              <w:rPr>
                <w:rFonts w:ascii="Calibri" w:hAnsi="Calibri" w:cs="Calibri"/>
                <w:sz w:val="20"/>
                <w:szCs w:val="20"/>
              </w:rPr>
              <w:t>14. Displaced homemakers</w:t>
            </w:r>
          </w:p>
        </w:tc>
        <w:tc>
          <w:tcPr>
            <w:tcW w:w="1080" w:type="dxa"/>
          </w:tcPr>
          <w:p w14:paraId="2D14A090" w14:textId="77777777" w:rsidR="00734172" w:rsidRPr="00734172" w:rsidRDefault="00734172" w:rsidP="00734172">
            <w:pPr>
              <w:kinsoku w:val="0"/>
              <w:overflowPunct w:val="0"/>
              <w:autoSpaceDE w:val="0"/>
              <w:autoSpaceDN w:val="0"/>
              <w:adjustRightInd w:val="0"/>
              <w:spacing w:before="11" w:after="0" w:line="247" w:lineRule="exact"/>
              <w:ind w:left="439"/>
              <w:rPr>
                <w:rFonts w:ascii="MS Gothic" w:eastAsia="MS Gothic" w:hAnsi="Times New Roman" w:cs="MS Gothic"/>
                <w:w w:val="99"/>
                <w:sz w:val="20"/>
                <w:szCs w:val="20"/>
              </w:rPr>
            </w:pPr>
            <w:r w:rsidRPr="00734172">
              <w:rPr>
                <w:rFonts w:ascii="MS Gothic" w:eastAsia="MS Gothic" w:hAnsi="Times New Roman" w:cs="MS Gothic" w:hint="eastAsia"/>
                <w:w w:val="99"/>
                <w:sz w:val="20"/>
                <w:szCs w:val="20"/>
              </w:rPr>
              <w:t>☐</w:t>
            </w:r>
          </w:p>
        </w:tc>
        <w:tc>
          <w:tcPr>
            <w:tcW w:w="2846" w:type="dxa"/>
          </w:tcPr>
          <w:p w14:paraId="0B60738E" w14:textId="77777777" w:rsidR="00734172" w:rsidRPr="00734172" w:rsidRDefault="00734172" w:rsidP="00734172">
            <w:pPr>
              <w:kinsoku w:val="0"/>
              <w:overflowPunct w:val="0"/>
              <w:autoSpaceDE w:val="0"/>
              <w:autoSpaceDN w:val="0"/>
              <w:adjustRightInd w:val="0"/>
              <w:spacing w:after="0" w:line="240" w:lineRule="auto"/>
              <w:rPr>
                <w:rFonts w:ascii="Times New Roman" w:hAnsi="Times New Roman" w:cs="Times New Roman"/>
                <w:sz w:val="20"/>
                <w:szCs w:val="20"/>
              </w:rPr>
            </w:pPr>
          </w:p>
        </w:tc>
      </w:tr>
    </w:tbl>
    <w:p w14:paraId="740B1D4F" w14:textId="77777777" w:rsidR="00734172" w:rsidRPr="00734172" w:rsidRDefault="00734172" w:rsidP="00734172">
      <w:pPr>
        <w:kinsoku w:val="0"/>
        <w:overflowPunct w:val="0"/>
        <w:autoSpaceDE w:val="0"/>
        <w:autoSpaceDN w:val="0"/>
        <w:adjustRightInd w:val="0"/>
        <w:spacing w:before="1" w:after="0" w:line="240" w:lineRule="auto"/>
        <w:rPr>
          <w:rFonts w:ascii="Calibri" w:hAnsi="Calibri" w:cs="Calibri"/>
          <w:b/>
          <w:bCs/>
          <w:sz w:val="18"/>
          <w:szCs w:val="18"/>
        </w:rPr>
      </w:pPr>
    </w:p>
    <w:tbl>
      <w:tblPr>
        <w:tblW w:w="10760" w:type="dxa"/>
        <w:tblInd w:w="100" w:type="dxa"/>
        <w:tblLayout w:type="fixed"/>
        <w:tblCellMar>
          <w:left w:w="0" w:type="dxa"/>
          <w:right w:w="0" w:type="dxa"/>
        </w:tblCellMar>
        <w:tblLook w:val="0000" w:firstRow="0" w:lastRow="0" w:firstColumn="0" w:lastColumn="0" w:noHBand="0" w:noVBand="0"/>
      </w:tblPr>
      <w:tblGrid>
        <w:gridCol w:w="3055"/>
        <w:gridCol w:w="3780"/>
        <w:gridCol w:w="1130"/>
        <w:gridCol w:w="2795"/>
      </w:tblGrid>
      <w:tr w:rsidR="00734172" w:rsidRPr="00734172" w14:paraId="6A838D1C" w14:textId="77777777" w:rsidTr="00423C10">
        <w:trPr>
          <w:trHeight w:val="268"/>
        </w:trPr>
        <w:tc>
          <w:tcPr>
            <w:tcW w:w="6835" w:type="dxa"/>
            <w:gridSpan w:val="2"/>
            <w:tcBorders>
              <w:top w:val="single" w:sz="4" w:space="0" w:color="000000"/>
              <w:left w:val="single" w:sz="4" w:space="0" w:color="000000"/>
              <w:bottom w:val="single" w:sz="4" w:space="0" w:color="000000"/>
              <w:right w:val="single" w:sz="4" w:space="0" w:color="000000"/>
            </w:tcBorders>
            <w:shd w:val="clear" w:color="auto" w:fill="D9D9D9"/>
          </w:tcPr>
          <w:p w14:paraId="69704261" w14:textId="77777777" w:rsidR="00734172" w:rsidRPr="00734172" w:rsidRDefault="00734172" w:rsidP="00734172">
            <w:pPr>
              <w:kinsoku w:val="0"/>
              <w:overflowPunct w:val="0"/>
              <w:autoSpaceDE w:val="0"/>
              <w:autoSpaceDN w:val="0"/>
              <w:adjustRightInd w:val="0"/>
              <w:spacing w:after="0" w:line="248" w:lineRule="exact"/>
              <w:ind w:left="1787"/>
              <w:rPr>
                <w:rFonts w:ascii="Calibri" w:hAnsi="Calibri" w:cs="Calibri"/>
                <w:b/>
                <w:bCs/>
              </w:rPr>
            </w:pPr>
            <w:r w:rsidRPr="00734172">
              <w:rPr>
                <w:rFonts w:ascii="Calibri" w:hAnsi="Calibri" w:cs="Calibri"/>
                <w:b/>
                <w:bCs/>
              </w:rPr>
              <w:t>Dislocated Worker Program Criteria</w:t>
            </w:r>
          </w:p>
        </w:tc>
        <w:tc>
          <w:tcPr>
            <w:tcW w:w="113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12AF659F" w14:textId="77777777" w:rsidR="00734172" w:rsidRPr="00734172" w:rsidRDefault="00734172" w:rsidP="00734172">
            <w:pPr>
              <w:kinsoku w:val="0"/>
              <w:overflowPunct w:val="0"/>
              <w:autoSpaceDE w:val="0"/>
              <w:autoSpaceDN w:val="0"/>
              <w:adjustRightInd w:val="0"/>
              <w:spacing w:before="2" w:after="0" w:line="270" w:lineRule="atLeast"/>
              <w:ind w:left="225" w:right="120" w:hanging="80"/>
              <w:rPr>
                <w:rFonts w:ascii="Calibri" w:hAnsi="Calibri" w:cs="Calibri"/>
                <w:b/>
                <w:bCs/>
              </w:rPr>
            </w:pPr>
            <w:r w:rsidRPr="00734172">
              <w:rPr>
                <w:rFonts w:ascii="Calibri" w:hAnsi="Calibri" w:cs="Calibri"/>
                <w:b/>
                <w:bCs/>
              </w:rPr>
              <w:t>Eligibility Criteria</w:t>
            </w:r>
          </w:p>
        </w:tc>
        <w:tc>
          <w:tcPr>
            <w:tcW w:w="2795" w:type="dxa"/>
            <w:vMerge w:val="restart"/>
            <w:tcBorders>
              <w:top w:val="single" w:sz="4" w:space="0" w:color="000000"/>
              <w:left w:val="single" w:sz="4" w:space="0" w:color="000000"/>
              <w:bottom w:val="single" w:sz="4" w:space="0" w:color="000000"/>
              <w:right w:val="single" w:sz="4" w:space="0" w:color="auto"/>
            </w:tcBorders>
            <w:shd w:val="clear" w:color="auto" w:fill="D9D9D9"/>
          </w:tcPr>
          <w:p w14:paraId="6DDA4B31" w14:textId="77777777" w:rsidR="00734172" w:rsidRPr="00734172" w:rsidRDefault="00734172" w:rsidP="00734172">
            <w:pPr>
              <w:kinsoku w:val="0"/>
              <w:overflowPunct w:val="0"/>
              <w:autoSpaceDE w:val="0"/>
              <w:autoSpaceDN w:val="0"/>
              <w:adjustRightInd w:val="0"/>
              <w:spacing w:before="138" w:after="0" w:line="240" w:lineRule="auto"/>
              <w:ind w:left="228"/>
              <w:rPr>
                <w:rFonts w:ascii="Calibri" w:hAnsi="Calibri" w:cs="Calibri"/>
                <w:b/>
                <w:bCs/>
              </w:rPr>
            </w:pPr>
            <w:r w:rsidRPr="00734172">
              <w:rPr>
                <w:rFonts w:ascii="Calibri" w:hAnsi="Calibri" w:cs="Calibri"/>
                <w:b/>
                <w:bCs/>
              </w:rPr>
              <w:t>Documentation Uploaded</w:t>
            </w:r>
          </w:p>
        </w:tc>
      </w:tr>
      <w:tr w:rsidR="00734172" w:rsidRPr="00734172" w14:paraId="31AAB499" w14:textId="77777777" w:rsidTr="00423C10">
        <w:trPr>
          <w:trHeight w:val="270"/>
        </w:trPr>
        <w:tc>
          <w:tcPr>
            <w:tcW w:w="3055" w:type="dxa"/>
            <w:tcBorders>
              <w:top w:val="single" w:sz="4" w:space="0" w:color="000000"/>
              <w:left w:val="single" w:sz="4" w:space="0" w:color="000000"/>
              <w:bottom w:val="single" w:sz="4" w:space="0" w:color="000000"/>
              <w:right w:val="single" w:sz="4" w:space="0" w:color="000000"/>
            </w:tcBorders>
          </w:tcPr>
          <w:p w14:paraId="53C9642E" w14:textId="77777777" w:rsidR="00734172" w:rsidRPr="00734172" w:rsidRDefault="00734172" w:rsidP="00734172">
            <w:pPr>
              <w:kinsoku w:val="0"/>
              <w:overflowPunct w:val="0"/>
              <w:autoSpaceDE w:val="0"/>
              <w:autoSpaceDN w:val="0"/>
              <w:adjustRightInd w:val="0"/>
              <w:spacing w:before="1" w:after="0" w:line="249" w:lineRule="exact"/>
              <w:ind w:left="107"/>
              <w:rPr>
                <w:rFonts w:ascii="Calibri" w:hAnsi="Calibri" w:cs="Calibri"/>
                <w:b/>
                <w:bCs/>
              </w:rPr>
            </w:pPr>
            <w:r w:rsidRPr="00734172">
              <w:rPr>
                <w:rFonts w:ascii="Calibri" w:hAnsi="Calibri" w:cs="Calibri"/>
                <w:b/>
                <w:bCs/>
              </w:rPr>
              <w:t>Date of Dislocation (required):</w:t>
            </w:r>
          </w:p>
        </w:tc>
        <w:tc>
          <w:tcPr>
            <w:tcW w:w="3780" w:type="dxa"/>
            <w:tcBorders>
              <w:top w:val="single" w:sz="4" w:space="0" w:color="000000"/>
              <w:left w:val="single" w:sz="4" w:space="0" w:color="000000"/>
              <w:bottom w:val="single" w:sz="4" w:space="0" w:color="000000"/>
              <w:right w:val="single" w:sz="4" w:space="0" w:color="000000"/>
            </w:tcBorders>
          </w:tcPr>
          <w:p w14:paraId="70151FF6" w14:textId="77777777" w:rsidR="00734172" w:rsidRPr="00734172" w:rsidRDefault="00734172" w:rsidP="00734172">
            <w:pPr>
              <w:kinsoku w:val="0"/>
              <w:overflowPunct w:val="0"/>
              <w:autoSpaceDE w:val="0"/>
              <w:autoSpaceDN w:val="0"/>
              <w:adjustRightInd w:val="0"/>
              <w:spacing w:after="0" w:line="240" w:lineRule="auto"/>
              <w:rPr>
                <w:rFonts w:ascii="Times New Roman" w:hAnsi="Times New Roman" w:cs="Times New Roman"/>
                <w:sz w:val="20"/>
                <w:szCs w:val="20"/>
              </w:rPr>
            </w:pPr>
          </w:p>
        </w:tc>
        <w:tc>
          <w:tcPr>
            <w:tcW w:w="1130" w:type="dxa"/>
            <w:vMerge/>
            <w:tcBorders>
              <w:top w:val="nil"/>
              <w:left w:val="single" w:sz="4" w:space="0" w:color="000000"/>
              <w:bottom w:val="single" w:sz="4" w:space="0" w:color="000000"/>
              <w:right w:val="single" w:sz="4" w:space="0" w:color="000000"/>
            </w:tcBorders>
            <w:shd w:val="clear" w:color="auto" w:fill="D9D9D9"/>
          </w:tcPr>
          <w:p w14:paraId="757805BE" w14:textId="77777777" w:rsidR="00734172" w:rsidRPr="00734172" w:rsidRDefault="00734172" w:rsidP="00734172">
            <w:pPr>
              <w:kinsoku w:val="0"/>
              <w:overflowPunct w:val="0"/>
              <w:autoSpaceDE w:val="0"/>
              <w:autoSpaceDN w:val="0"/>
              <w:adjustRightInd w:val="0"/>
              <w:spacing w:before="1" w:after="0" w:line="240" w:lineRule="auto"/>
              <w:rPr>
                <w:rFonts w:ascii="Calibri" w:hAnsi="Calibri" w:cs="Calibri"/>
                <w:b/>
                <w:bCs/>
                <w:sz w:val="2"/>
                <w:szCs w:val="2"/>
              </w:rPr>
            </w:pPr>
          </w:p>
        </w:tc>
        <w:tc>
          <w:tcPr>
            <w:tcW w:w="2795" w:type="dxa"/>
            <w:vMerge/>
            <w:tcBorders>
              <w:top w:val="nil"/>
              <w:left w:val="single" w:sz="4" w:space="0" w:color="000000"/>
              <w:bottom w:val="single" w:sz="4" w:space="0" w:color="000000"/>
              <w:right w:val="single" w:sz="4" w:space="0" w:color="auto"/>
            </w:tcBorders>
            <w:shd w:val="clear" w:color="auto" w:fill="D9D9D9"/>
          </w:tcPr>
          <w:p w14:paraId="18814116" w14:textId="77777777" w:rsidR="00734172" w:rsidRPr="00734172" w:rsidRDefault="00734172" w:rsidP="00734172">
            <w:pPr>
              <w:kinsoku w:val="0"/>
              <w:overflowPunct w:val="0"/>
              <w:autoSpaceDE w:val="0"/>
              <w:autoSpaceDN w:val="0"/>
              <w:adjustRightInd w:val="0"/>
              <w:spacing w:before="1" w:after="0" w:line="240" w:lineRule="auto"/>
              <w:rPr>
                <w:rFonts w:ascii="Calibri" w:hAnsi="Calibri" w:cs="Calibri"/>
                <w:b/>
                <w:bCs/>
                <w:sz w:val="2"/>
                <w:szCs w:val="2"/>
              </w:rPr>
            </w:pPr>
          </w:p>
        </w:tc>
      </w:tr>
      <w:tr w:rsidR="00734172" w:rsidRPr="00734172" w14:paraId="32E4195B" w14:textId="77777777" w:rsidTr="00423C10">
        <w:trPr>
          <w:trHeight w:val="287"/>
        </w:trPr>
        <w:tc>
          <w:tcPr>
            <w:tcW w:w="6835" w:type="dxa"/>
            <w:gridSpan w:val="2"/>
            <w:tcBorders>
              <w:top w:val="single" w:sz="4" w:space="0" w:color="000000"/>
              <w:left w:val="single" w:sz="4" w:space="0" w:color="000000"/>
              <w:bottom w:val="single" w:sz="4" w:space="0" w:color="000000"/>
              <w:right w:val="single" w:sz="4" w:space="0" w:color="000000"/>
            </w:tcBorders>
          </w:tcPr>
          <w:p w14:paraId="7CDF0F9F" w14:textId="77777777" w:rsidR="00734172" w:rsidRPr="00734172" w:rsidRDefault="00734172" w:rsidP="00734172">
            <w:pPr>
              <w:kinsoku w:val="0"/>
              <w:overflowPunct w:val="0"/>
              <w:autoSpaceDE w:val="0"/>
              <w:autoSpaceDN w:val="0"/>
              <w:adjustRightInd w:val="0"/>
              <w:spacing w:before="23" w:after="0" w:line="240" w:lineRule="auto"/>
              <w:ind w:left="107"/>
              <w:rPr>
                <w:rFonts w:ascii="Calibri" w:hAnsi="Calibri" w:cs="Calibri"/>
                <w:sz w:val="20"/>
                <w:szCs w:val="20"/>
              </w:rPr>
            </w:pPr>
            <w:r w:rsidRPr="00734172">
              <w:rPr>
                <w:rFonts w:ascii="Calibri" w:hAnsi="Calibri" w:cs="Calibri"/>
                <w:sz w:val="20"/>
                <w:szCs w:val="20"/>
              </w:rPr>
              <w:t>Recently Dislocated</w:t>
            </w:r>
          </w:p>
        </w:tc>
        <w:tc>
          <w:tcPr>
            <w:tcW w:w="1130" w:type="dxa"/>
            <w:tcBorders>
              <w:top w:val="single" w:sz="4" w:space="0" w:color="000000"/>
              <w:left w:val="single" w:sz="4" w:space="0" w:color="000000"/>
              <w:bottom w:val="single" w:sz="4" w:space="0" w:color="000000"/>
              <w:right w:val="single" w:sz="4" w:space="0" w:color="000000"/>
            </w:tcBorders>
          </w:tcPr>
          <w:p w14:paraId="14672FE4" w14:textId="77777777" w:rsidR="00734172" w:rsidRPr="00734172" w:rsidRDefault="00734172" w:rsidP="00734172">
            <w:pPr>
              <w:kinsoku w:val="0"/>
              <w:overflowPunct w:val="0"/>
              <w:autoSpaceDE w:val="0"/>
              <w:autoSpaceDN w:val="0"/>
              <w:adjustRightInd w:val="0"/>
              <w:spacing w:before="16" w:after="0" w:line="252" w:lineRule="exact"/>
              <w:ind w:left="465"/>
              <w:rPr>
                <w:rFonts w:ascii="MS Gothic" w:eastAsia="MS Gothic" w:hAnsi="Times New Roman" w:cs="MS Gothic"/>
                <w:w w:val="99"/>
                <w:sz w:val="20"/>
                <w:szCs w:val="20"/>
              </w:rPr>
            </w:pPr>
            <w:r w:rsidRPr="00734172">
              <w:rPr>
                <w:rFonts w:ascii="MS Gothic" w:eastAsia="MS Gothic" w:hAnsi="Times New Roman" w:cs="MS Gothic" w:hint="eastAsia"/>
                <w:w w:val="99"/>
                <w:sz w:val="20"/>
                <w:szCs w:val="20"/>
              </w:rPr>
              <w:t>☐</w:t>
            </w:r>
          </w:p>
        </w:tc>
        <w:tc>
          <w:tcPr>
            <w:tcW w:w="2795" w:type="dxa"/>
            <w:tcBorders>
              <w:top w:val="single" w:sz="4" w:space="0" w:color="000000"/>
              <w:left w:val="single" w:sz="4" w:space="0" w:color="000000"/>
              <w:bottom w:val="single" w:sz="4" w:space="0" w:color="000000"/>
              <w:right w:val="single" w:sz="4" w:space="0" w:color="auto"/>
            </w:tcBorders>
          </w:tcPr>
          <w:p w14:paraId="55A4EB4F" w14:textId="77777777" w:rsidR="00734172" w:rsidRPr="00734172" w:rsidRDefault="00734172" w:rsidP="00734172">
            <w:pPr>
              <w:kinsoku w:val="0"/>
              <w:overflowPunct w:val="0"/>
              <w:autoSpaceDE w:val="0"/>
              <w:autoSpaceDN w:val="0"/>
              <w:adjustRightInd w:val="0"/>
              <w:spacing w:after="0" w:line="240" w:lineRule="auto"/>
              <w:rPr>
                <w:rFonts w:ascii="Times New Roman" w:hAnsi="Times New Roman" w:cs="Times New Roman"/>
                <w:sz w:val="20"/>
                <w:szCs w:val="20"/>
              </w:rPr>
            </w:pPr>
          </w:p>
        </w:tc>
      </w:tr>
      <w:tr w:rsidR="00734172" w:rsidRPr="00734172" w14:paraId="7953B9B2" w14:textId="77777777" w:rsidTr="00423C10">
        <w:trPr>
          <w:trHeight w:val="287"/>
        </w:trPr>
        <w:tc>
          <w:tcPr>
            <w:tcW w:w="6835" w:type="dxa"/>
            <w:gridSpan w:val="2"/>
            <w:tcBorders>
              <w:top w:val="single" w:sz="4" w:space="0" w:color="000000"/>
              <w:left w:val="single" w:sz="4" w:space="0" w:color="000000"/>
              <w:bottom w:val="single" w:sz="4" w:space="0" w:color="000000"/>
              <w:right w:val="single" w:sz="4" w:space="0" w:color="000000"/>
            </w:tcBorders>
          </w:tcPr>
          <w:p w14:paraId="73AD81DC" w14:textId="77777777" w:rsidR="00734172" w:rsidRPr="00734172" w:rsidRDefault="00734172" w:rsidP="00734172">
            <w:pPr>
              <w:kinsoku w:val="0"/>
              <w:overflowPunct w:val="0"/>
              <w:autoSpaceDE w:val="0"/>
              <w:autoSpaceDN w:val="0"/>
              <w:adjustRightInd w:val="0"/>
              <w:spacing w:before="23" w:after="0" w:line="240" w:lineRule="auto"/>
              <w:ind w:left="107"/>
              <w:rPr>
                <w:rFonts w:ascii="Calibri" w:hAnsi="Calibri" w:cs="Calibri"/>
                <w:sz w:val="20"/>
                <w:szCs w:val="20"/>
              </w:rPr>
            </w:pPr>
            <w:r w:rsidRPr="00734172">
              <w:rPr>
                <w:rFonts w:ascii="Calibri" w:hAnsi="Calibri" w:cs="Calibri"/>
                <w:sz w:val="20"/>
                <w:szCs w:val="20"/>
              </w:rPr>
              <w:t>Plant Closure or Substantial Layoff</w:t>
            </w:r>
          </w:p>
        </w:tc>
        <w:tc>
          <w:tcPr>
            <w:tcW w:w="1130" w:type="dxa"/>
            <w:tcBorders>
              <w:top w:val="single" w:sz="4" w:space="0" w:color="000000"/>
              <w:left w:val="single" w:sz="4" w:space="0" w:color="000000"/>
              <w:bottom w:val="single" w:sz="4" w:space="0" w:color="000000"/>
              <w:right w:val="single" w:sz="4" w:space="0" w:color="000000"/>
            </w:tcBorders>
          </w:tcPr>
          <w:p w14:paraId="625BD1E7" w14:textId="77777777" w:rsidR="00734172" w:rsidRPr="00734172" w:rsidRDefault="00734172" w:rsidP="00734172">
            <w:pPr>
              <w:kinsoku w:val="0"/>
              <w:overflowPunct w:val="0"/>
              <w:autoSpaceDE w:val="0"/>
              <w:autoSpaceDN w:val="0"/>
              <w:adjustRightInd w:val="0"/>
              <w:spacing w:before="15" w:after="0" w:line="252" w:lineRule="exact"/>
              <w:ind w:left="465"/>
              <w:rPr>
                <w:rFonts w:ascii="MS Gothic" w:eastAsia="MS Gothic" w:hAnsi="Times New Roman" w:cs="MS Gothic"/>
                <w:w w:val="99"/>
                <w:sz w:val="20"/>
                <w:szCs w:val="20"/>
              </w:rPr>
            </w:pPr>
            <w:r w:rsidRPr="00734172">
              <w:rPr>
                <w:rFonts w:ascii="MS Gothic" w:eastAsia="MS Gothic" w:hAnsi="Times New Roman" w:cs="MS Gothic" w:hint="eastAsia"/>
                <w:w w:val="99"/>
                <w:sz w:val="20"/>
                <w:szCs w:val="20"/>
              </w:rPr>
              <w:t>☐</w:t>
            </w:r>
          </w:p>
        </w:tc>
        <w:tc>
          <w:tcPr>
            <w:tcW w:w="2795" w:type="dxa"/>
            <w:tcBorders>
              <w:top w:val="single" w:sz="4" w:space="0" w:color="000000"/>
              <w:left w:val="single" w:sz="4" w:space="0" w:color="000000"/>
              <w:bottom w:val="single" w:sz="4" w:space="0" w:color="000000"/>
              <w:right w:val="single" w:sz="4" w:space="0" w:color="auto"/>
            </w:tcBorders>
          </w:tcPr>
          <w:p w14:paraId="779063DB" w14:textId="77777777" w:rsidR="00734172" w:rsidRPr="00734172" w:rsidRDefault="00734172" w:rsidP="00734172">
            <w:pPr>
              <w:kinsoku w:val="0"/>
              <w:overflowPunct w:val="0"/>
              <w:autoSpaceDE w:val="0"/>
              <w:autoSpaceDN w:val="0"/>
              <w:adjustRightInd w:val="0"/>
              <w:spacing w:after="0" w:line="240" w:lineRule="auto"/>
              <w:rPr>
                <w:rFonts w:ascii="Times New Roman" w:hAnsi="Times New Roman" w:cs="Times New Roman"/>
                <w:sz w:val="20"/>
                <w:szCs w:val="20"/>
              </w:rPr>
            </w:pPr>
          </w:p>
        </w:tc>
      </w:tr>
      <w:tr w:rsidR="00734172" w:rsidRPr="00734172" w14:paraId="65F79C2C" w14:textId="77777777" w:rsidTr="00423C10">
        <w:trPr>
          <w:trHeight w:val="278"/>
        </w:trPr>
        <w:tc>
          <w:tcPr>
            <w:tcW w:w="6835" w:type="dxa"/>
            <w:gridSpan w:val="2"/>
            <w:tcBorders>
              <w:top w:val="single" w:sz="4" w:space="0" w:color="000000"/>
              <w:left w:val="single" w:sz="4" w:space="0" w:color="000000"/>
              <w:bottom w:val="single" w:sz="4" w:space="0" w:color="000000"/>
              <w:right w:val="single" w:sz="4" w:space="0" w:color="000000"/>
            </w:tcBorders>
          </w:tcPr>
          <w:p w14:paraId="1C07ECA9" w14:textId="77777777" w:rsidR="00734172" w:rsidRPr="00734172" w:rsidRDefault="00734172" w:rsidP="00734172">
            <w:pPr>
              <w:kinsoku w:val="0"/>
              <w:overflowPunct w:val="0"/>
              <w:autoSpaceDE w:val="0"/>
              <w:autoSpaceDN w:val="0"/>
              <w:adjustRightInd w:val="0"/>
              <w:spacing w:before="18" w:after="0" w:line="240" w:lineRule="exact"/>
              <w:ind w:left="107"/>
              <w:rPr>
                <w:rFonts w:ascii="Calibri" w:hAnsi="Calibri" w:cs="Calibri"/>
                <w:sz w:val="20"/>
                <w:szCs w:val="20"/>
              </w:rPr>
            </w:pPr>
            <w:r w:rsidRPr="00734172">
              <w:rPr>
                <w:rFonts w:ascii="Calibri" w:hAnsi="Calibri" w:cs="Calibri"/>
                <w:sz w:val="20"/>
                <w:szCs w:val="20"/>
              </w:rPr>
              <w:t>Loss of Self-Employment</w:t>
            </w:r>
          </w:p>
        </w:tc>
        <w:tc>
          <w:tcPr>
            <w:tcW w:w="1130" w:type="dxa"/>
            <w:tcBorders>
              <w:top w:val="single" w:sz="4" w:space="0" w:color="000000"/>
              <w:left w:val="single" w:sz="4" w:space="0" w:color="000000"/>
              <w:bottom w:val="single" w:sz="4" w:space="0" w:color="000000"/>
              <w:right w:val="single" w:sz="4" w:space="0" w:color="000000"/>
            </w:tcBorders>
          </w:tcPr>
          <w:p w14:paraId="770EC0C5" w14:textId="77777777" w:rsidR="00734172" w:rsidRPr="00734172" w:rsidRDefault="00734172" w:rsidP="00734172">
            <w:pPr>
              <w:kinsoku w:val="0"/>
              <w:overflowPunct w:val="0"/>
              <w:autoSpaceDE w:val="0"/>
              <w:autoSpaceDN w:val="0"/>
              <w:adjustRightInd w:val="0"/>
              <w:spacing w:before="11" w:after="0" w:line="247" w:lineRule="exact"/>
              <w:ind w:left="465"/>
              <w:rPr>
                <w:rFonts w:ascii="MS Gothic" w:eastAsia="MS Gothic" w:hAnsi="Times New Roman" w:cs="MS Gothic"/>
                <w:w w:val="99"/>
                <w:sz w:val="20"/>
                <w:szCs w:val="20"/>
              </w:rPr>
            </w:pPr>
            <w:r w:rsidRPr="00734172">
              <w:rPr>
                <w:rFonts w:ascii="MS Gothic" w:eastAsia="MS Gothic" w:hAnsi="Times New Roman" w:cs="MS Gothic" w:hint="eastAsia"/>
                <w:w w:val="99"/>
                <w:sz w:val="20"/>
                <w:szCs w:val="20"/>
              </w:rPr>
              <w:t>☐</w:t>
            </w:r>
          </w:p>
        </w:tc>
        <w:tc>
          <w:tcPr>
            <w:tcW w:w="2795" w:type="dxa"/>
            <w:tcBorders>
              <w:top w:val="single" w:sz="4" w:space="0" w:color="000000"/>
              <w:left w:val="single" w:sz="4" w:space="0" w:color="000000"/>
              <w:bottom w:val="single" w:sz="4" w:space="0" w:color="000000"/>
              <w:right w:val="single" w:sz="4" w:space="0" w:color="auto"/>
            </w:tcBorders>
          </w:tcPr>
          <w:p w14:paraId="0C063A4F" w14:textId="77777777" w:rsidR="00734172" w:rsidRPr="00734172" w:rsidRDefault="00734172" w:rsidP="00734172">
            <w:pPr>
              <w:kinsoku w:val="0"/>
              <w:overflowPunct w:val="0"/>
              <w:autoSpaceDE w:val="0"/>
              <w:autoSpaceDN w:val="0"/>
              <w:adjustRightInd w:val="0"/>
              <w:spacing w:after="0" w:line="240" w:lineRule="auto"/>
              <w:rPr>
                <w:rFonts w:ascii="Times New Roman" w:hAnsi="Times New Roman" w:cs="Times New Roman"/>
                <w:sz w:val="20"/>
                <w:szCs w:val="20"/>
              </w:rPr>
            </w:pPr>
          </w:p>
        </w:tc>
      </w:tr>
      <w:tr w:rsidR="00734172" w:rsidRPr="00734172" w14:paraId="5370EA6F" w14:textId="77777777" w:rsidTr="00423C10">
        <w:trPr>
          <w:trHeight w:val="278"/>
        </w:trPr>
        <w:tc>
          <w:tcPr>
            <w:tcW w:w="6835" w:type="dxa"/>
            <w:gridSpan w:val="2"/>
            <w:tcBorders>
              <w:top w:val="single" w:sz="4" w:space="0" w:color="000000"/>
              <w:left w:val="single" w:sz="4" w:space="0" w:color="000000"/>
              <w:bottom w:val="single" w:sz="4" w:space="0" w:color="000000"/>
              <w:right w:val="single" w:sz="4" w:space="0" w:color="000000"/>
            </w:tcBorders>
          </w:tcPr>
          <w:p w14:paraId="672F3C04" w14:textId="77777777" w:rsidR="00734172" w:rsidRPr="00734172" w:rsidRDefault="00734172" w:rsidP="00734172">
            <w:pPr>
              <w:kinsoku w:val="0"/>
              <w:overflowPunct w:val="0"/>
              <w:autoSpaceDE w:val="0"/>
              <w:autoSpaceDN w:val="0"/>
              <w:adjustRightInd w:val="0"/>
              <w:spacing w:before="18" w:after="0" w:line="240" w:lineRule="exact"/>
              <w:ind w:left="107"/>
              <w:rPr>
                <w:rFonts w:ascii="Calibri" w:hAnsi="Calibri" w:cs="Calibri"/>
                <w:sz w:val="20"/>
                <w:szCs w:val="20"/>
              </w:rPr>
            </w:pPr>
            <w:r w:rsidRPr="00734172">
              <w:rPr>
                <w:rFonts w:ascii="Calibri" w:hAnsi="Calibri" w:cs="Calibri"/>
                <w:sz w:val="20"/>
                <w:szCs w:val="20"/>
              </w:rPr>
              <w:t>Displaced Homemaker</w:t>
            </w:r>
          </w:p>
        </w:tc>
        <w:tc>
          <w:tcPr>
            <w:tcW w:w="1130" w:type="dxa"/>
            <w:tcBorders>
              <w:top w:val="single" w:sz="4" w:space="0" w:color="000000"/>
              <w:left w:val="single" w:sz="4" w:space="0" w:color="000000"/>
              <w:bottom w:val="single" w:sz="4" w:space="0" w:color="000000"/>
              <w:right w:val="single" w:sz="4" w:space="0" w:color="000000"/>
            </w:tcBorders>
          </w:tcPr>
          <w:p w14:paraId="1A1E6535" w14:textId="77777777" w:rsidR="00734172" w:rsidRPr="00734172" w:rsidRDefault="00734172" w:rsidP="00734172">
            <w:pPr>
              <w:kinsoku w:val="0"/>
              <w:overflowPunct w:val="0"/>
              <w:autoSpaceDE w:val="0"/>
              <w:autoSpaceDN w:val="0"/>
              <w:adjustRightInd w:val="0"/>
              <w:spacing w:before="11" w:after="0" w:line="247" w:lineRule="exact"/>
              <w:ind w:left="465"/>
              <w:rPr>
                <w:rFonts w:ascii="MS Gothic" w:eastAsia="MS Gothic" w:hAnsi="Times New Roman" w:cs="MS Gothic"/>
                <w:w w:val="99"/>
                <w:sz w:val="20"/>
                <w:szCs w:val="20"/>
              </w:rPr>
            </w:pPr>
            <w:r w:rsidRPr="00734172">
              <w:rPr>
                <w:rFonts w:ascii="MS Gothic" w:eastAsia="MS Gothic" w:hAnsi="Times New Roman" w:cs="MS Gothic" w:hint="eastAsia"/>
                <w:w w:val="99"/>
                <w:sz w:val="20"/>
                <w:szCs w:val="20"/>
              </w:rPr>
              <w:t>☐</w:t>
            </w:r>
          </w:p>
        </w:tc>
        <w:tc>
          <w:tcPr>
            <w:tcW w:w="2795" w:type="dxa"/>
            <w:tcBorders>
              <w:top w:val="single" w:sz="4" w:space="0" w:color="000000"/>
              <w:left w:val="single" w:sz="4" w:space="0" w:color="000000"/>
              <w:bottom w:val="single" w:sz="4" w:space="0" w:color="000000"/>
              <w:right w:val="single" w:sz="4" w:space="0" w:color="auto"/>
            </w:tcBorders>
          </w:tcPr>
          <w:p w14:paraId="1B1D707B" w14:textId="77777777" w:rsidR="00734172" w:rsidRPr="00734172" w:rsidRDefault="00734172" w:rsidP="00734172">
            <w:pPr>
              <w:kinsoku w:val="0"/>
              <w:overflowPunct w:val="0"/>
              <w:autoSpaceDE w:val="0"/>
              <w:autoSpaceDN w:val="0"/>
              <w:adjustRightInd w:val="0"/>
              <w:spacing w:after="0" w:line="240" w:lineRule="auto"/>
              <w:rPr>
                <w:rFonts w:ascii="Times New Roman" w:hAnsi="Times New Roman" w:cs="Times New Roman"/>
                <w:sz w:val="20"/>
                <w:szCs w:val="20"/>
              </w:rPr>
            </w:pPr>
          </w:p>
        </w:tc>
      </w:tr>
      <w:tr w:rsidR="00734172" w:rsidRPr="00734172" w14:paraId="392EF4BA" w14:textId="77777777" w:rsidTr="00423C10">
        <w:trPr>
          <w:trHeight w:val="277"/>
        </w:trPr>
        <w:tc>
          <w:tcPr>
            <w:tcW w:w="6835" w:type="dxa"/>
            <w:gridSpan w:val="2"/>
            <w:tcBorders>
              <w:top w:val="single" w:sz="4" w:space="0" w:color="000000"/>
              <w:left w:val="single" w:sz="4" w:space="0" w:color="000000"/>
              <w:bottom w:val="single" w:sz="4" w:space="0" w:color="000000"/>
              <w:right w:val="single" w:sz="4" w:space="0" w:color="000000"/>
            </w:tcBorders>
          </w:tcPr>
          <w:p w14:paraId="2DDE96AB" w14:textId="77777777" w:rsidR="00734172" w:rsidRPr="00734172" w:rsidRDefault="00734172" w:rsidP="00734172">
            <w:pPr>
              <w:kinsoku w:val="0"/>
              <w:overflowPunct w:val="0"/>
              <w:autoSpaceDE w:val="0"/>
              <w:autoSpaceDN w:val="0"/>
              <w:adjustRightInd w:val="0"/>
              <w:spacing w:before="18" w:after="0" w:line="240" w:lineRule="exact"/>
              <w:ind w:left="107"/>
              <w:rPr>
                <w:rFonts w:ascii="Calibri" w:hAnsi="Calibri" w:cs="Calibri"/>
                <w:sz w:val="20"/>
                <w:szCs w:val="20"/>
              </w:rPr>
            </w:pPr>
            <w:r w:rsidRPr="00734172">
              <w:rPr>
                <w:rFonts w:ascii="Calibri" w:hAnsi="Calibri" w:cs="Calibri"/>
                <w:sz w:val="20"/>
                <w:szCs w:val="20"/>
              </w:rPr>
              <w:t>Military Spouse (Loss of employment or Displaced)</w:t>
            </w:r>
          </w:p>
        </w:tc>
        <w:tc>
          <w:tcPr>
            <w:tcW w:w="1130" w:type="dxa"/>
            <w:tcBorders>
              <w:top w:val="single" w:sz="4" w:space="0" w:color="000000"/>
              <w:left w:val="single" w:sz="4" w:space="0" w:color="000000"/>
              <w:bottom w:val="single" w:sz="4" w:space="0" w:color="000000"/>
              <w:right w:val="single" w:sz="4" w:space="0" w:color="000000"/>
            </w:tcBorders>
          </w:tcPr>
          <w:p w14:paraId="4F46D8A4" w14:textId="77777777" w:rsidR="00734172" w:rsidRPr="00734172" w:rsidRDefault="00734172" w:rsidP="00734172">
            <w:pPr>
              <w:kinsoku w:val="0"/>
              <w:overflowPunct w:val="0"/>
              <w:autoSpaceDE w:val="0"/>
              <w:autoSpaceDN w:val="0"/>
              <w:adjustRightInd w:val="0"/>
              <w:spacing w:before="11" w:after="0" w:line="247" w:lineRule="exact"/>
              <w:ind w:left="465"/>
              <w:rPr>
                <w:rFonts w:ascii="MS Gothic" w:eastAsia="MS Gothic" w:hAnsi="Times New Roman" w:cs="MS Gothic"/>
                <w:w w:val="99"/>
                <w:sz w:val="20"/>
                <w:szCs w:val="20"/>
              </w:rPr>
            </w:pPr>
            <w:r w:rsidRPr="00734172">
              <w:rPr>
                <w:rFonts w:ascii="MS Gothic" w:eastAsia="MS Gothic" w:hAnsi="Times New Roman" w:cs="MS Gothic" w:hint="eastAsia"/>
                <w:w w:val="99"/>
                <w:sz w:val="20"/>
                <w:szCs w:val="20"/>
              </w:rPr>
              <w:t>☐</w:t>
            </w:r>
          </w:p>
        </w:tc>
        <w:tc>
          <w:tcPr>
            <w:tcW w:w="2795" w:type="dxa"/>
            <w:tcBorders>
              <w:top w:val="single" w:sz="4" w:space="0" w:color="000000"/>
              <w:left w:val="single" w:sz="4" w:space="0" w:color="000000"/>
              <w:bottom w:val="single" w:sz="4" w:space="0" w:color="000000"/>
              <w:right w:val="single" w:sz="4" w:space="0" w:color="auto"/>
            </w:tcBorders>
          </w:tcPr>
          <w:p w14:paraId="6BF1E018" w14:textId="77777777" w:rsidR="00734172" w:rsidRPr="00734172" w:rsidRDefault="00734172" w:rsidP="00734172">
            <w:pPr>
              <w:kinsoku w:val="0"/>
              <w:overflowPunct w:val="0"/>
              <w:autoSpaceDE w:val="0"/>
              <w:autoSpaceDN w:val="0"/>
              <w:adjustRightInd w:val="0"/>
              <w:spacing w:after="0" w:line="240" w:lineRule="auto"/>
              <w:rPr>
                <w:rFonts w:ascii="Times New Roman" w:hAnsi="Times New Roman" w:cs="Times New Roman"/>
                <w:sz w:val="20"/>
                <w:szCs w:val="20"/>
              </w:rPr>
            </w:pPr>
          </w:p>
        </w:tc>
      </w:tr>
    </w:tbl>
    <w:p w14:paraId="53FE8A30" w14:textId="51BAC937" w:rsidR="00BA4C6B" w:rsidRDefault="00BA4C6B" w:rsidP="00423C10">
      <w:pPr>
        <w:rPr>
          <w:sz w:val="16"/>
          <w:szCs w:val="16"/>
        </w:rPr>
      </w:pPr>
    </w:p>
    <w:p w14:paraId="434D10EF" w14:textId="77777777" w:rsidR="00BA4C6B" w:rsidRDefault="00BA4C6B" w:rsidP="00423C10">
      <w:pPr>
        <w:rPr>
          <w:sz w:val="16"/>
          <w:szCs w:val="16"/>
        </w:rPr>
      </w:pPr>
    </w:p>
    <w:p w14:paraId="5FCF2F89" w14:textId="27259129" w:rsidR="00BA4C6B" w:rsidRDefault="00BA4C6B" w:rsidP="00BA4C6B">
      <w:pPr>
        <w:jc w:val="center"/>
        <w:rPr>
          <w:sz w:val="16"/>
          <w:szCs w:val="16"/>
        </w:rPr>
      </w:pPr>
      <w:r>
        <w:rPr>
          <w:noProof/>
        </w:rPr>
        <w:drawing>
          <wp:inline distT="0" distB="0" distL="0" distR="0" wp14:anchorId="673E94F4" wp14:editId="66E54448">
            <wp:extent cx="1219200" cy="317425"/>
            <wp:effectExtent l="0" t="0" r="0" b="6985"/>
            <wp:docPr id="2" name="Picture 2" descr="Oklahoma Works Logo" title="Oklahoma Wor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300960" cy="338712"/>
                    </a:xfrm>
                    <a:prstGeom prst="rect">
                      <a:avLst/>
                    </a:prstGeom>
                  </pic:spPr>
                </pic:pic>
              </a:graphicData>
            </a:graphic>
          </wp:inline>
        </w:drawing>
      </w:r>
    </w:p>
    <w:p w14:paraId="2B375447" w14:textId="77777777" w:rsidR="00BA4C6B" w:rsidRDefault="00BA4C6B" w:rsidP="00423C10">
      <w:pPr>
        <w:rPr>
          <w:sz w:val="16"/>
          <w:szCs w:val="16"/>
        </w:rPr>
      </w:pPr>
    </w:p>
    <w:p w14:paraId="27B631C8" w14:textId="2A5F75CF" w:rsidR="00423C10" w:rsidRPr="00423C10" w:rsidRDefault="00423C10" w:rsidP="00BA4C6B">
      <w:pPr>
        <w:jc w:val="center"/>
        <w:rPr>
          <w:sz w:val="16"/>
          <w:szCs w:val="16"/>
        </w:rPr>
      </w:pPr>
      <w:r w:rsidRPr="00423C10">
        <w:rPr>
          <w:sz w:val="16"/>
          <w:szCs w:val="16"/>
        </w:rPr>
        <w:t>Equal opportunity employment/program. Auxiliary aids and services are available upon request to individuals with disabilities.</w:t>
      </w:r>
    </w:p>
    <w:p w14:paraId="2A2151A0" w14:textId="77777777" w:rsidR="00734172" w:rsidRDefault="00734172" w:rsidP="00164896">
      <w:pPr>
        <w:rPr>
          <w:rFonts w:cstheme="minorHAnsi"/>
        </w:rPr>
        <w:sectPr w:rsidR="00734172" w:rsidSect="00734172">
          <w:headerReference w:type="first" r:id="rId32"/>
          <w:pgSz w:w="12240" w:h="15840"/>
          <w:pgMar w:top="720" w:right="720" w:bottom="720" w:left="720" w:header="432" w:footer="144" w:gutter="0"/>
          <w:cols w:space="720"/>
          <w:titlePg/>
          <w:docGrid w:linePitch="360"/>
        </w:sectPr>
      </w:pPr>
    </w:p>
    <w:p w14:paraId="0355ACDF" w14:textId="67DE6915" w:rsidR="00B55EEA" w:rsidRDefault="00B55EEA" w:rsidP="00164896">
      <w:pPr>
        <w:rPr>
          <w:rFonts w:cstheme="minorHAnsi"/>
        </w:rPr>
      </w:pPr>
    </w:p>
    <w:tbl>
      <w:tblPr>
        <w:tblStyle w:val="TableGrid1"/>
        <w:tblW w:w="10795" w:type="dxa"/>
        <w:tblLook w:val="04A0" w:firstRow="1" w:lastRow="0" w:firstColumn="1" w:lastColumn="0" w:noHBand="0" w:noVBand="1"/>
      </w:tblPr>
      <w:tblGrid>
        <w:gridCol w:w="3595"/>
        <w:gridCol w:w="1456"/>
        <w:gridCol w:w="3404"/>
        <w:gridCol w:w="2340"/>
      </w:tblGrid>
      <w:tr w:rsidR="008110C9" w:rsidRPr="008110C9" w14:paraId="57696264" w14:textId="77777777" w:rsidTr="00171F76">
        <w:trPr>
          <w:trHeight w:val="620"/>
        </w:trPr>
        <w:tc>
          <w:tcPr>
            <w:tcW w:w="10795" w:type="dxa"/>
            <w:gridSpan w:val="4"/>
            <w:hideMark/>
          </w:tcPr>
          <w:p w14:paraId="356DFC00" w14:textId="77777777" w:rsidR="008110C9" w:rsidRPr="00E656E2" w:rsidRDefault="008110C9" w:rsidP="00E656E2">
            <w:pPr>
              <w:pStyle w:val="Subtitle"/>
              <w:jc w:val="center"/>
              <w:rPr>
                <w:b/>
                <w:bCs/>
                <w:sz w:val="28"/>
                <w:szCs w:val="28"/>
              </w:rPr>
            </w:pPr>
            <w:r w:rsidRPr="00E656E2">
              <w:rPr>
                <w:b/>
                <w:bCs/>
                <w:color w:val="auto"/>
                <w:sz w:val="28"/>
                <w:szCs w:val="28"/>
              </w:rPr>
              <w:t>SAMPLE PERSONAL BUDGET FORM</w:t>
            </w:r>
          </w:p>
        </w:tc>
      </w:tr>
      <w:tr w:rsidR="008110C9" w:rsidRPr="008110C9" w14:paraId="02D34CC2" w14:textId="77777777" w:rsidTr="00171F76">
        <w:trPr>
          <w:trHeight w:val="315"/>
        </w:trPr>
        <w:tc>
          <w:tcPr>
            <w:tcW w:w="5051" w:type="dxa"/>
            <w:gridSpan w:val="2"/>
            <w:noWrap/>
            <w:hideMark/>
          </w:tcPr>
          <w:p w14:paraId="00F080BB" w14:textId="77777777" w:rsidR="008110C9" w:rsidRPr="008110C9" w:rsidRDefault="008110C9" w:rsidP="008110C9">
            <w:pPr>
              <w:rPr>
                <w:b/>
                <w:bCs/>
              </w:rPr>
            </w:pPr>
            <w:r w:rsidRPr="008110C9">
              <w:rPr>
                <w:b/>
                <w:bCs/>
              </w:rPr>
              <w:t>PERSONAL BUDGET</w:t>
            </w:r>
          </w:p>
        </w:tc>
        <w:tc>
          <w:tcPr>
            <w:tcW w:w="3404" w:type="dxa"/>
            <w:noWrap/>
            <w:hideMark/>
          </w:tcPr>
          <w:p w14:paraId="258736B7" w14:textId="77777777" w:rsidR="008110C9" w:rsidRPr="008110C9" w:rsidRDefault="008110C9" w:rsidP="008110C9">
            <w:pPr>
              <w:rPr>
                <w:b/>
                <w:bCs/>
              </w:rPr>
            </w:pPr>
            <w:r w:rsidRPr="008110C9">
              <w:rPr>
                <w:b/>
                <w:bCs/>
              </w:rPr>
              <w:t>NAME:</w:t>
            </w:r>
          </w:p>
        </w:tc>
        <w:tc>
          <w:tcPr>
            <w:tcW w:w="2340" w:type="dxa"/>
            <w:noWrap/>
            <w:hideMark/>
          </w:tcPr>
          <w:p w14:paraId="4F4AC779" w14:textId="77777777" w:rsidR="008110C9" w:rsidRPr="008110C9" w:rsidRDefault="008110C9" w:rsidP="008110C9">
            <w:pPr>
              <w:rPr>
                <w:b/>
                <w:bCs/>
              </w:rPr>
            </w:pPr>
            <w:r w:rsidRPr="008110C9">
              <w:rPr>
                <w:b/>
                <w:bCs/>
              </w:rPr>
              <w:t>PID:</w:t>
            </w:r>
          </w:p>
        </w:tc>
      </w:tr>
      <w:tr w:rsidR="008110C9" w:rsidRPr="008110C9" w14:paraId="5B1731A7" w14:textId="77777777" w:rsidTr="00171F76">
        <w:trPr>
          <w:trHeight w:val="377"/>
        </w:trPr>
        <w:tc>
          <w:tcPr>
            <w:tcW w:w="10795" w:type="dxa"/>
            <w:gridSpan w:val="4"/>
            <w:noWrap/>
            <w:hideMark/>
          </w:tcPr>
          <w:p w14:paraId="7F345789" w14:textId="77777777" w:rsidR="008110C9" w:rsidRPr="008110C9" w:rsidRDefault="008110C9" w:rsidP="008110C9">
            <w:pPr>
              <w:jc w:val="center"/>
              <w:rPr>
                <w:b/>
                <w:bCs/>
              </w:rPr>
            </w:pPr>
            <w:r w:rsidRPr="008110C9">
              <w:rPr>
                <w:b/>
                <w:bCs/>
              </w:rPr>
              <w:t>INCOME</w:t>
            </w:r>
          </w:p>
          <w:p w14:paraId="160F114B" w14:textId="77777777" w:rsidR="008110C9" w:rsidRPr="008110C9" w:rsidRDefault="008110C9" w:rsidP="008110C9">
            <w:r w:rsidRPr="008110C9">
              <w:t> </w:t>
            </w:r>
          </w:p>
        </w:tc>
      </w:tr>
      <w:tr w:rsidR="008110C9" w:rsidRPr="008110C9" w14:paraId="1295DA64" w14:textId="77777777" w:rsidTr="00171F76">
        <w:trPr>
          <w:trHeight w:val="315"/>
        </w:trPr>
        <w:tc>
          <w:tcPr>
            <w:tcW w:w="3595" w:type="dxa"/>
            <w:noWrap/>
            <w:hideMark/>
          </w:tcPr>
          <w:p w14:paraId="23D8B17B" w14:textId="77777777" w:rsidR="008110C9" w:rsidRPr="008110C9" w:rsidRDefault="008110C9" w:rsidP="008110C9">
            <w:r w:rsidRPr="008110C9">
              <w:t>Source 1</w:t>
            </w:r>
          </w:p>
        </w:tc>
        <w:tc>
          <w:tcPr>
            <w:tcW w:w="1456" w:type="dxa"/>
            <w:noWrap/>
            <w:hideMark/>
          </w:tcPr>
          <w:p w14:paraId="4B1D7F0B" w14:textId="77777777" w:rsidR="008110C9" w:rsidRPr="008110C9" w:rsidRDefault="008110C9" w:rsidP="008110C9">
            <w:r w:rsidRPr="008110C9">
              <w:t> </w:t>
            </w:r>
          </w:p>
        </w:tc>
        <w:tc>
          <w:tcPr>
            <w:tcW w:w="3404" w:type="dxa"/>
            <w:noWrap/>
            <w:hideMark/>
          </w:tcPr>
          <w:p w14:paraId="459FAE26" w14:textId="77777777" w:rsidR="008110C9" w:rsidRPr="008110C9" w:rsidRDefault="008110C9" w:rsidP="008110C9">
            <w:r w:rsidRPr="008110C9">
              <w:t>Income Total</w:t>
            </w:r>
          </w:p>
        </w:tc>
        <w:tc>
          <w:tcPr>
            <w:tcW w:w="2340" w:type="dxa"/>
            <w:noWrap/>
            <w:hideMark/>
          </w:tcPr>
          <w:p w14:paraId="19E8C9E3" w14:textId="77777777" w:rsidR="008110C9" w:rsidRPr="008110C9" w:rsidRDefault="008110C9" w:rsidP="008110C9">
            <w:r w:rsidRPr="008110C9">
              <w:t> </w:t>
            </w:r>
          </w:p>
        </w:tc>
      </w:tr>
      <w:tr w:rsidR="008110C9" w:rsidRPr="008110C9" w14:paraId="4A8A7238" w14:textId="77777777" w:rsidTr="00171F76">
        <w:trPr>
          <w:trHeight w:val="315"/>
        </w:trPr>
        <w:tc>
          <w:tcPr>
            <w:tcW w:w="3595" w:type="dxa"/>
            <w:noWrap/>
            <w:hideMark/>
          </w:tcPr>
          <w:p w14:paraId="19E7E866" w14:textId="77777777" w:rsidR="008110C9" w:rsidRPr="008110C9" w:rsidRDefault="008110C9" w:rsidP="008110C9">
            <w:r w:rsidRPr="008110C9">
              <w:t>Source 2</w:t>
            </w:r>
          </w:p>
        </w:tc>
        <w:tc>
          <w:tcPr>
            <w:tcW w:w="1456" w:type="dxa"/>
            <w:noWrap/>
            <w:hideMark/>
          </w:tcPr>
          <w:p w14:paraId="70CB6220" w14:textId="77777777" w:rsidR="008110C9" w:rsidRPr="008110C9" w:rsidRDefault="008110C9" w:rsidP="008110C9">
            <w:r w:rsidRPr="008110C9">
              <w:t> </w:t>
            </w:r>
          </w:p>
        </w:tc>
        <w:tc>
          <w:tcPr>
            <w:tcW w:w="3404" w:type="dxa"/>
            <w:noWrap/>
            <w:hideMark/>
          </w:tcPr>
          <w:p w14:paraId="458053FF" w14:textId="77777777" w:rsidR="008110C9" w:rsidRPr="008110C9" w:rsidRDefault="008110C9" w:rsidP="008110C9">
            <w:r w:rsidRPr="008110C9">
              <w:t>Expense Total</w:t>
            </w:r>
          </w:p>
        </w:tc>
        <w:tc>
          <w:tcPr>
            <w:tcW w:w="2340" w:type="dxa"/>
            <w:noWrap/>
            <w:hideMark/>
          </w:tcPr>
          <w:p w14:paraId="6723268A" w14:textId="77777777" w:rsidR="008110C9" w:rsidRPr="008110C9" w:rsidRDefault="008110C9" w:rsidP="008110C9">
            <w:r w:rsidRPr="008110C9">
              <w:t> </w:t>
            </w:r>
          </w:p>
        </w:tc>
      </w:tr>
      <w:tr w:rsidR="008110C9" w:rsidRPr="008110C9" w14:paraId="3D66F041" w14:textId="77777777" w:rsidTr="00171F76">
        <w:trPr>
          <w:trHeight w:val="330"/>
        </w:trPr>
        <w:tc>
          <w:tcPr>
            <w:tcW w:w="3595" w:type="dxa"/>
            <w:noWrap/>
            <w:hideMark/>
          </w:tcPr>
          <w:p w14:paraId="3C4CB260" w14:textId="77777777" w:rsidR="008110C9" w:rsidRPr="008110C9" w:rsidRDefault="008110C9" w:rsidP="008110C9">
            <w:r w:rsidRPr="008110C9">
              <w:t>Other Sources</w:t>
            </w:r>
          </w:p>
        </w:tc>
        <w:tc>
          <w:tcPr>
            <w:tcW w:w="1456" w:type="dxa"/>
            <w:noWrap/>
            <w:hideMark/>
          </w:tcPr>
          <w:p w14:paraId="6563D328" w14:textId="77777777" w:rsidR="008110C9" w:rsidRPr="008110C9" w:rsidRDefault="008110C9" w:rsidP="008110C9">
            <w:r w:rsidRPr="008110C9">
              <w:t> </w:t>
            </w:r>
          </w:p>
        </w:tc>
        <w:tc>
          <w:tcPr>
            <w:tcW w:w="3404" w:type="dxa"/>
            <w:noWrap/>
            <w:hideMark/>
          </w:tcPr>
          <w:p w14:paraId="41A88DE8" w14:textId="77777777" w:rsidR="008110C9" w:rsidRPr="008110C9" w:rsidRDefault="008110C9" w:rsidP="008110C9">
            <w:r w:rsidRPr="008110C9">
              <w:t>Difference</w:t>
            </w:r>
          </w:p>
        </w:tc>
        <w:tc>
          <w:tcPr>
            <w:tcW w:w="2340" w:type="dxa"/>
            <w:noWrap/>
            <w:hideMark/>
          </w:tcPr>
          <w:p w14:paraId="7A58D817" w14:textId="77777777" w:rsidR="008110C9" w:rsidRPr="008110C9" w:rsidRDefault="008110C9" w:rsidP="008110C9">
            <w:r w:rsidRPr="008110C9">
              <w:t> </w:t>
            </w:r>
          </w:p>
        </w:tc>
      </w:tr>
      <w:tr w:rsidR="008110C9" w:rsidRPr="008110C9" w14:paraId="613AC1B1" w14:textId="77777777" w:rsidTr="00171F76">
        <w:trPr>
          <w:trHeight w:val="330"/>
        </w:trPr>
        <w:tc>
          <w:tcPr>
            <w:tcW w:w="5051" w:type="dxa"/>
            <w:gridSpan w:val="2"/>
            <w:noWrap/>
            <w:hideMark/>
          </w:tcPr>
          <w:p w14:paraId="311BB7DE" w14:textId="77777777" w:rsidR="008110C9" w:rsidRPr="008110C9" w:rsidRDefault="008110C9" w:rsidP="008110C9">
            <w:pPr>
              <w:rPr>
                <w:b/>
                <w:bCs/>
              </w:rPr>
            </w:pPr>
            <w:r w:rsidRPr="008110C9">
              <w:rPr>
                <w:b/>
                <w:bCs/>
              </w:rPr>
              <w:t>HOME EXPENSES</w:t>
            </w:r>
          </w:p>
        </w:tc>
        <w:tc>
          <w:tcPr>
            <w:tcW w:w="5744" w:type="dxa"/>
            <w:gridSpan w:val="2"/>
            <w:noWrap/>
            <w:hideMark/>
          </w:tcPr>
          <w:p w14:paraId="0F6999B7" w14:textId="77777777" w:rsidR="008110C9" w:rsidRPr="008110C9" w:rsidRDefault="008110C9" w:rsidP="008110C9">
            <w:pPr>
              <w:rPr>
                <w:b/>
                <w:bCs/>
              </w:rPr>
            </w:pPr>
            <w:r w:rsidRPr="008110C9">
              <w:rPr>
                <w:b/>
                <w:bCs/>
              </w:rPr>
              <w:t>LOANS/CREDIT CARDS/MISC.</w:t>
            </w:r>
          </w:p>
        </w:tc>
      </w:tr>
      <w:tr w:rsidR="008110C9" w:rsidRPr="008110C9" w14:paraId="4507D5FE" w14:textId="77777777" w:rsidTr="00171F76">
        <w:trPr>
          <w:trHeight w:val="315"/>
        </w:trPr>
        <w:tc>
          <w:tcPr>
            <w:tcW w:w="3595" w:type="dxa"/>
            <w:noWrap/>
            <w:hideMark/>
          </w:tcPr>
          <w:p w14:paraId="262596B1" w14:textId="77777777" w:rsidR="008110C9" w:rsidRPr="008110C9" w:rsidRDefault="008110C9" w:rsidP="008110C9">
            <w:r w:rsidRPr="008110C9">
              <w:t>Rent/Mortgage</w:t>
            </w:r>
          </w:p>
        </w:tc>
        <w:tc>
          <w:tcPr>
            <w:tcW w:w="1456" w:type="dxa"/>
            <w:noWrap/>
            <w:hideMark/>
          </w:tcPr>
          <w:p w14:paraId="0B12D3A7" w14:textId="77777777" w:rsidR="008110C9" w:rsidRPr="008110C9" w:rsidRDefault="008110C9" w:rsidP="008110C9">
            <w:r w:rsidRPr="008110C9">
              <w:t> </w:t>
            </w:r>
          </w:p>
        </w:tc>
        <w:tc>
          <w:tcPr>
            <w:tcW w:w="3404" w:type="dxa"/>
            <w:noWrap/>
            <w:hideMark/>
          </w:tcPr>
          <w:p w14:paraId="6C4E6EDA" w14:textId="77777777" w:rsidR="008110C9" w:rsidRPr="008110C9" w:rsidRDefault="008110C9" w:rsidP="008110C9">
            <w:r w:rsidRPr="008110C9">
              <w:t>Student Loans</w:t>
            </w:r>
          </w:p>
        </w:tc>
        <w:tc>
          <w:tcPr>
            <w:tcW w:w="2340" w:type="dxa"/>
            <w:noWrap/>
            <w:hideMark/>
          </w:tcPr>
          <w:p w14:paraId="17FFA273" w14:textId="77777777" w:rsidR="008110C9" w:rsidRPr="008110C9" w:rsidRDefault="008110C9" w:rsidP="008110C9">
            <w:r w:rsidRPr="008110C9">
              <w:t> </w:t>
            </w:r>
          </w:p>
        </w:tc>
      </w:tr>
      <w:tr w:rsidR="008110C9" w:rsidRPr="008110C9" w14:paraId="5C793004" w14:textId="77777777" w:rsidTr="00171F76">
        <w:trPr>
          <w:trHeight w:val="315"/>
        </w:trPr>
        <w:tc>
          <w:tcPr>
            <w:tcW w:w="3595" w:type="dxa"/>
            <w:noWrap/>
            <w:hideMark/>
          </w:tcPr>
          <w:p w14:paraId="58A93E4C" w14:textId="77777777" w:rsidR="008110C9" w:rsidRPr="008110C9" w:rsidRDefault="008110C9" w:rsidP="008110C9">
            <w:r w:rsidRPr="008110C9">
              <w:t>Electric</w:t>
            </w:r>
          </w:p>
        </w:tc>
        <w:tc>
          <w:tcPr>
            <w:tcW w:w="1456" w:type="dxa"/>
            <w:noWrap/>
            <w:hideMark/>
          </w:tcPr>
          <w:p w14:paraId="6FC7DF52" w14:textId="77777777" w:rsidR="008110C9" w:rsidRPr="008110C9" w:rsidRDefault="008110C9" w:rsidP="008110C9">
            <w:r w:rsidRPr="008110C9">
              <w:t> </w:t>
            </w:r>
          </w:p>
        </w:tc>
        <w:tc>
          <w:tcPr>
            <w:tcW w:w="3404" w:type="dxa"/>
            <w:noWrap/>
            <w:hideMark/>
          </w:tcPr>
          <w:p w14:paraId="61CF3457" w14:textId="77777777" w:rsidR="008110C9" w:rsidRPr="008110C9" w:rsidRDefault="008110C9" w:rsidP="008110C9">
            <w:r w:rsidRPr="008110C9">
              <w:t>Personal Loans</w:t>
            </w:r>
          </w:p>
        </w:tc>
        <w:tc>
          <w:tcPr>
            <w:tcW w:w="2340" w:type="dxa"/>
            <w:noWrap/>
            <w:hideMark/>
          </w:tcPr>
          <w:p w14:paraId="6517C8A4" w14:textId="77777777" w:rsidR="008110C9" w:rsidRPr="008110C9" w:rsidRDefault="008110C9" w:rsidP="008110C9">
            <w:r w:rsidRPr="008110C9">
              <w:t> </w:t>
            </w:r>
          </w:p>
        </w:tc>
      </w:tr>
      <w:tr w:rsidR="008110C9" w:rsidRPr="008110C9" w14:paraId="04B82501" w14:textId="77777777" w:rsidTr="00171F76">
        <w:trPr>
          <w:trHeight w:val="315"/>
        </w:trPr>
        <w:tc>
          <w:tcPr>
            <w:tcW w:w="3595" w:type="dxa"/>
            <w:noWrap/>
            <w:hideMark/>
          </w:tcPr>
          <w:p w14:paraId="3033EDA2" w14:textId="77777777" w:rsidR="008110C9" w:rsidRPr="008110C9" w:rsidRDefault="008110C9" w:rsidP="008110C9">
            <w:r w:rsidRPr="008110C9">
              <w:t>Gas</w:t>
            </w:r>
          </w:p>
        </w:tc>
        <w:tc>
          <w:tcPr>
            <w:tcW w:w="1456" w:type="dxa"/>
            <w:noWrap/>
            <w:hideMark/>
          </w:tcPr>
          <w:p w14:paraId="53303412" w14:textId="77777777" w:rsidR="008110C9" w:rsidRPr="008110C9" w:rsidRDefault="008110C9" w:rsidP="008110C9">
            <w:r w:rsidRPr="008110C9">
              <w:t> </w:t>
            </w:r>
          </w:p>
        </w:tc>
        <w:tc>
          <w:tcPr>
            <w:tcW w:w="3404" w:type="dxa"/>
            <w:noWrap/>
            <w:hideMark/>
          </w:tcPr>
          <w:p w14:paraId="7B4A76AB" w14:textId="77777777" w:rsidR="008110C9" w:rsidRPr="008110C9" w:rsidRDefault="008110C9" w:rsidP="008110C9">
            <w:r w:rsidRPr="008110C9">
              <w:t>Home Equity Loan</w:t>
            </w:r>
          </w:p>
        </w:tc>
        <w:tc>
          <w:tcPr>
            <w:tcW w:w="2340" w:type="dxa"/>
            <w:noWrap/>
            <w:hideMark/>
          </w:tcPr>
          <w:p w14:paraId="72B7800B" w14:textId="77777777" w:rsidR="008110C9" w:rsidRPr="008110C9" w:rsidRDefault="008110C9" w:rsidP="008110C9">
            <w:r w:rsidRPr="008110C9">
              <w:t> </w:t>
            </w:r>
          </w:p>
        </w:tc>
      </w:tr>
      <w:tr w:rsidR="008110C9" w:rsidRPr="008110C9" w14:paraId="61CB6F15" w14:textId="77777777" w:rsidTr="00171F76">
        <w:trPr>
          <w:trHeight w:val="315"/>
        </w:trPr>
        <w:tc>
          <w:tcPr>
            <w:tcW w:w="3595" w:type="dxa"/>
            <w:noWrap/>
            <w:hideMark/>
          </w:tcPr>
          <w:p w14:paraId="27704658" w14:textId="77777777" w:rsidR="008110C9" w:rsidRPr="008110C9" w:rsidRDefault="008110C9" w:rsidP="008110C9">
            <w:r w:rsidRPr="008110C9">
              <w:t>Water</w:t>
            </w:r>
          </w:p>
        </w:tc>
        <w:tc>
          <w:tcPr>
            <w:tcW w:w="1456" w:type="dxa"/>
            <w:noWrap/>
            <w:hideMark/>
          </w:tcPr>
          <w:p w14:paraId="1947738A" w14:textId="77777777" w:rsidR="008110C9" w:rsidRPr="008110C9" w:rsidRDefault="008110C9" w:rsidP="008110C9">
            <w:r w:rsidRPr="008110C9">
              <w:t> </w:t>
            </w:r>
          </w:p>
        </w:tc>
        <w:tc>
          <w:tcPr>
            <w:tcW w:w="3404" w:type="dxa"/>
            <w:noWrap/>
            <w:hideMark/>
          </w:tcPr>
          <w:p w14:paraId="6528393E" w14:textId="77777777" w:rsidR="008110C9" w:rsidRPr="008110C9" w:rsidRDefault="008110C9" w:rsidP="008110C9">
            <w:r w:rsidRPr="008110C9">
              <w:t>Credit Cards</w:t>
            </w:r>
          </w:p>
        </w:tc>
        <w:tc>
          <w:tcPr>
            <w:tcW w:w="2340" w:type="dxa"/>
            <w:noWrap/>
            <w:hideMark/>
          </w:tcPr>
          <w:p w14:paraId="5328DDA2" w14:textId="77777777" w:rsidR="008110C9" w:rsidRPr="008110C9" w:rsidRDefault="008110C9" w:rsidP="008110C9">
            <w:r w:rsidRPr="008110C9">
              <w:t> </w:t>
            </w:r>
          </w:p>
        </w:tc>
      </w:tr>
      <w:tr w:rsidR="008110C9" w:rsidRPr="008110C9" w14:paraId="6C5B9B21" w14:textId="77777777" w:rsidTr="00171F76">
        <w:trPr>
          <w:trHeight w:val="315"/>
        </w:trPr>
        <w:tc>
          <w:tcPr>
            <w:tcW w:w="3595" w:type="dxa"/>
            <w:noWrap/>
            <w:hideMark/>
          </w:tcPr>
          <w:p w14:paraId="547173A9" w14:textId="77777777" w:rsidR="008110C9" w:rsidRPr="008110C9" w:rsidRDefault="008110C9" w:rsidP="008110C9">
            <w:r w:rsidRPr="008110C9">
              <w:t>Phone</w:t>
            </w:r>
          </w:p>
        </w:tc>
        <w:tc>
          <w:tcPr>
            <w:tcW w:w="1456" w:type="dxa"/>
            <w:noWrap/>
            <w:hideMark/>
          </w:tcPr>
          <w:p w14:paraId="1F6EFDFA" w14:textId="77777777" w:rsidR="008110C9" w:rsidRPr="008110C9" w:rsidRDefault="008110C9" w:rsidP="008110C9">
            <w:r w:rsidRPr="008110C9">
              <w:t> </w:t>
            </w:r>
          </w:p>
        </w:tc>
        <w:tc>
          <w:tcPr>
            <w:tcW w:w="3404" w:type="dxa"/>
            <w:noWrap/>
            <w:hideMark/>
          </w:tcPr>
          <w:p w14:paraId="001222A9" w14:textId="77777777" w:rsidR="008110C9" w:rsidRPr="008110C9" w:rsidRDefault="008110C9" w:rsidP="008110C9">
            <w:r w:rsidRPr="008110C9">
              <w:t>Personal Care</w:t>
            </w:r>
          </w:p>
        </w:tc>
        <w:tc>
          <w:tcPr>
            <w:tcW w:w="2340" w:type="dxa"/>
            <w:noWrap/>
            <w:hideMark/>
          </w:tcPr>
          <w:p w14:paraId="52C861C5" w14:textId="77777777" w:rsidR="008110C9" w:rsidRPr="008110C9" w:rsidRDefault="008110C9" w:rsidP="008110C9">
            <w:r w:rsidRPr="008110C9">
              <w:t> </w:t>
            </w:r>
          </w:p>
        </w:tc>
      </w:tr>
      <w:tr w:rsidR="008110C9" w:rsidRPr="008110C9" w14:paraId="1698DD0E" w14:textId="77777777" w:rsidTr="00171F76">
        <w:trPr>
          <w:trHeight w:val="315"/>
        </w:trPr>
        <w:tc>
          <w:tcPr>
            <w:tcW w:w="3595" w:type="dxa"/>
            <w:noWrap/>
            <w:hideMark/>
          </w:tcPr>
          <w:p w14:paraId="115B434B" w14:textId="705D8E8B" w:rsidR="008110C9" w:rsidRPr="008110C9" w:rsidRDefault="008110C9" w:rsidP="008110C9">
            <w:r w:rsidRPr="008110C9">
              <w:t>TV/Cable/</w:t>
            </w:r>
            <w:r w:rsidR="00FD2C21" w:rsidRPr="008110C9">
              <w:t>Wi-Fi</w:t>
            </w:r>
          </w:p>
        </w:tc>
        <w:tc>
          <w:tcPr>
            <w:tcW w:w="1456" w:type="dxa"/>
            <w:noWrap/>
            <w:hideMark/>
          </w:tcPr>
          <w:p w14:paraId="753142EC" w14:textId="77777777" w:rsidR="008110C9" w:rsidRPr="008110C9" w:rsidRDefault="008110C9" w:rsidP="008110C9">
            <w:r w:rsidRPr="008110C9">
              <w:t> </w:t>
            </w:r>
          </w:p>
        </w:tc>
        <w:tc>
          <w:tcPr>
            <w:tcW w:w="3404" w:type="dxa"/>
            <w:noWrap/>
            <w:hideMark/>
          </w:tcPr>
          <w:p w14:paraId="7DE15E27" w14:textId="77777777" w:rsidR="008110C9" w:rsidRPr="008110C9" w:rsidRDefault="008110C9" w:rsidP="008110C9">
            <w:r w:rsidRPr="008110C9">
              <w:t>Child Care</w:t>
            </w:r>
          </w:p>
        </w:tc>
        <w:tc>
          <w:tcPr>
            <w:tcW w:w="2340" w:type="dxa"/>
            <w:noWrap/>
            <w:hideMark/>
          </w:tcPr>
          <w:p w14:paraId="49E5F946" w14:textId="77777777" w:rsidR="008110C9" w:rsidRPr="008110C9" w:rsidRDefault="008110C9" w:rsidP="008110C9">
            <w:r w:rsidRPr="008110C9">
              <w:t> </w:t>
            </w:r>
          </w:p>
        </w:tc>
      </w:tr>
      <w:tr w:rsidR="008110C9" w:rsidRPr="008110C9" w14:paraId="35ED8413" w14:textId="77777777" w:rsidTr="00171F76">
        <w:trPr>
          <w:trHeight w:val="315"/>
        </w:trPr>
        <w:tc>
          <w:tcPr>
            <w:tcW w:w="3595" w:type="dxa"/>
            <w:noWrap/>
            <w:hideMark/>
          </w:tcPr>
          <w:p w14:paraId="016527C6" w14:textId="77777777" w:rsidR="008110C9" w:rsidRPr="008110C9" w:rsidRDefault="008110C9" w:rsidP="008110C9">
            <w:r w:rsidRPr="008110C9">
              <w:t>Insurance</w:t>
            </w:r>
          </w:p>
        </w:tc>
        <w:tc>
          <w:tcPr>
            <w:tcW w:w="1456" w:type="dxa"/>
            <w:noWrap/>
            <w:hideMark/>
          </w:tcPr>
          <w:p w14:paraId="20B3878F" w14:textId="77777777" w:rsidR="008110C9" w:rsidRPr="008110C9" w:rsidRDefault="008110C9" w:rsidP="008110C9">
            <w:r w:rsidRPr="008110C9">
              <w:t> </w:t>
            </w:r>
          </w:p>
        </w:tc>
        <w:tc>
          <w:tcPr>
            <w:tcW w:w="3404" w:type="dxa"/>
            <w:noWrap/>
            <w:hideMark/>
          </w:tcPr>
          <w:p w14:paraId="22644E5F" w14:textId="77777777" w:rsidR="008110C9" w:rsidRPr="008110C9" w:rsidRDefault="008110C9" w:rsidP="008110C9">
            <w:r w:rsidRPr="008110C9">
              <w:t>Personal Care</w:t>
            </w:r>
          </w:p>
        </w:tc>
        <w:tc>
          <w:tcPr>
            <w:tcW w:w="2340" w:type="dxa"/>
            <w:noWrap/>
            <w:hideMark/>
          </w:tcPr>
          <w:p w14:paraId="7D1F542F" w14:textId="77777777" w:rsidR="008110C9" w:rsidRPr="008110C9" w:rsidRDefault="008110C9" w:rsidP="008110C9">
            <w:r w:rsidRPr="008110C9">
              <w:t> </w:t>
            </w:r>
          </w:p>
        </w:tc>
      </w:tr>
      <w:tr w:rsidR="008110C9" w:rsidRPr="008110C9" w14:paraId="40EBCAA2" w14:textId="77777777" w:rsidTr="00171F76">
        <w:trPr>
          <w:trHeight w:val="315"/>
        </w:trPr>
        <w:tc>
          <w:tcPr>
            <w:tcW w:w="3595" w:type="dxa"/>
            <w:noWrap/>
            <w:hideMark/>
          </w:tcPr>
          <w:p w14:paraId="73F0ABD5" w14:textId="77777777" w:rsidR="008110C9" w:rsidRPr="008110C9" w:rsidRDefault="008110C9" w:rsidP="008110C9">
            <w:r w:rsidRPr="008110C9">
              <w:t>Taxes</w:t>
            </w:r>
          </w:p>
        </w:tc>
        <w:tc>
          <w:tcPr>
            <w:tcW w:w="1456" w:type="dxa"/>
            <w:noWrap/>
            <w:hideMark/>
          </w:tcPr>
          <w:p w14:paraId="72FD0FE6" w14:textId="77777777" w:rsidR="008110C9" w:rsidRPr="008110C9" w:rsidRDefault="008110C9" w:rsidP="008110C9">
            <w:r w:rsidRPr="008110C9">
              <w:t> </w:t>
            </w:r>
          </w:p>
        </w:tc>
        <w:tc>
          <w:tcPr>
            <w:tcW w:w="3404" w:type="dxa"/>
            <w:noWrap/>
            <w:hideMark/>
          </w:tcPr>
          <w:p w14:paraId="7157DEC4" w14:textId="77777777" w:rsidR="008110C9" w:rsidRPr="008110C9" w:rsidRDefault="008110C9" w:rsidP="008110C9">
            <w:r w:rsidRPr="008110C9">
              <w:t>Clothing</w:t>
            </w:r>
          </w:p>
        </w:tc>
        <w:tc>
          <w:tcPr>
            <w:tcW w:w="2340" w:type="dxa"/>
            <w:noWrap/>
            <w:hideMark/>
          </w:tcPr>
          <w:p w14:paraId="5309FAEA" w14:textId="77777777" w:rsidR="008110C9" w:rsidRPr="008110C9" w:rsidRDefault="008110C9" w:rsidP="008110C9">
            <w:r w:rsidRPr="008110C9">
              <w:t> </w:t>
            </w:r>
          </w:p>
        </w:tc>
      </w:tr>
      <w:tr w:rsidR="008110C9" w:rsidRPr="008110C9" w14:paraId="14473CC3" w14:textId="77777777" w:rsidTr="00171F76">
        <w:trPr>
          <w:trHeight w:val="315"/>
        </w:trPr>
        <w:tc>
          <w:tcPr>
            <w:tcW w:w="3595" w:type="dxa"/>
            <w:noWrap/>
            <w:hideMark/>
          </w:tcPr>
          <w:p w14:paraId="30C98AB6" w14:textId="77777777" w:rsidR="008110C9" w:rsidRPr="008110C9" w:rsidRDefault="008110C9" w:rsidP="008110C9">
            <w:r w:rsidRPr="008110C9">
              <w:t>Repairs</w:t>
            </w:r>
          </w:p>
        </w:tc>
        <w:tc>
          <w:tcPr>
            <w:tcW w:w="1456" w:type="dxa"/>
            <w:noWrap/>
            <w:hideMark/>
          </w:tcPr>
          <w:p w14:paraId="3EDB2423" w14:textId="77777777" w:rsidR="008110C9" w:rsidRPr="008110C9" w:rsidRDefault="008110C9" w:rsidP="008110C9">
            <w:r w:rsidRPr="008110C9">
              <w:t> </w:t>
            </w:r>
          </w:p>
        </w:tc>
        <w:tc>
          <w:tcPr>
            <w:tcW w:w="3404" w:type="dxa"/>
            <w:noWrap/>
            <w:hideMark/>
          </w:tcPr>
          <w:p w14:paraId="78061925" w14:textId="77777777" w:rsidR="008110C9" w:rsidRPr="008110C9" w:rsidRDefault="008110C9" w:rsidP="008110C9">
            <w:r w:rsidRPr="008110C9">
              <w:t xml:space="preserve">Tax Penalty Payment </w:t>
            </w:r>
          </w:p>
        </w:tc>
        <w:tc>
          <w:tcPr>
            <w:tcW w:w="2340" w:type="dxa"/>
            <w:noWrap/>
            <w:hideMark/>
          </w:tcPr>
          <w:p w14:paraId="1CFF96C1" w14:textId="77777777" w:rsidR="008110C9" w:rsidRPr="008110C9" w:rsidRDefault="008110C9" w:rsidP="008110C9">
            <w:r w:rsidRPr="008110C9">
              <w:t> </w:t>
            </w:r>
          </w:p>
        </w:tc>
      </w:tr>
      <w:tr w:rsidR="008110C9" w:rsidRPr="008110C9" w14:paraId="76BBF6E0" w14:textId="77777777" w:rsidTr="00171F76">
        <w:trPr>
          <w:trHeight w:val="315"/>
        </w:trPr>
        <w:tc>
          <w:tcPr>
            <w:tcW w:w="3595" w:type="dxa"/>
            <w:noWrap/>
            <w:hideMark/>
          </w:tcPr>
          <w:p w14:paraId="0BF2C5BB" w14:textId="77777777" w:rsidR="008110C9" w:rsidRPr="008110C9" w:rsidRDefault="008110C9" w:rsidP="008110C9">
            <w:r w:rsidRPr="008110C9">
              <w:t>Home Owner Assoc Fees</w:t>
            </w:r>
          </w:p>
        </w:tc>
        <w:tc>
          <w:tcPr>
            <w:tcW w:w="1456" w:type="dxa"/>
            <w:noWrap/>
            <w:hideMark/>
          </w:tcPr>
          <w:p w14:paraId="7B9855F2" w14:textId="77777777" w:rsidR="008110C9" w:rsidRPr="008110C9" w:rsidRDefault="008110C9" w:rsidP="008110C9">
            <w:r w:rsidRPr="008110C9">
              <w:t> </w:t>
            </w:r>
          </w:p>
        </w:tc>
        <w:tc>
          <w:tcPr>
            <w:tcW w:w="3404" w:type="dxa"/>
            <w:noWrap/>
            <w:hideMark/>
          </w:tcPr>
          <w:p w14:paraId="1E261BE7" w14:textId="77777777" w:rsidR="008110C9" w:rsidRPr="008110C9" w:rsidRDefault="008110C9" w:rsidP="008110C9">
            <w:r w:rsidRPr="008110C9">
              <w:t>Supplies</w:t>
            </w:r>
          </w:p>
        </w:tc>
        <w:tc>
          <w:tcPr>
            <w:tcW w:w="2340" w:type="dxa"/>
            <w:noWrap/>
            <w:hideMark/>
          </w:tcPr>
          <w:p w14:paraId="3709317A" w14:textId="77777777" w:rsidR="008110C9" w:rsidRPr="008110C9" w:rsidRDefault="008110C9" w:rsidP="008110C9">
            <w:r w:rsidRPr="008110C9">
              <w:t> </w:t>
            </w:r>
          </w:p>
        </w:tc>
      </w:tr>
      <w:tr w:rsidR="008110C9" w:rsidRPr="008110C9" w14:paraId="6849B587" w14:textId="77777777" w:rsidTr="00171F76">
        <w:trPr>
          <w:trHeight w:val="330"/>
        </w:trPr>
        <w:tc>
          <w:tcPr>
            <w:tcW w:w="3595" w:type="dxa"/>
            <w:noWrap/>
            <w:hideMark/>
          </w:tcPr>
          <w:p w14:paraId="23FADC3F" w14:textId="77777777" w:rsidR="008110C9" w:rsidRPr="008110C9" w:rsidRDefault="008110C9" w:rsidP="008110C9">
            <w:r w:rsidRPr="008110C9">
              <w:t>Food</w:t>
            </w:r>
          </w:p>
        </w:tc>
        <w:tc>
          <w:tcPr>
            <w:tcW w:w="1456" w:type="dxa"/>
            <w:noWrap/>
            <w:hideMark/>
          </w:tcPr>
          <w:p w14:paraId="69E033E0" w14:textId="77777777" w:rsidR="008110C9" w:rsidRPr="008110C9" w:rsidRDefault="008110C9" w:rsidP="008110C9">
            <w:r w:rsidRPr="008110C9">
              <w:t> </w:t>
            </w:r>
          </w:p>
        </w:tc>
        <w:tc>
          <w:tcPr>
            <w:tcW w:w="3404" w:type="dxa"/>
            <w:noWrap/>
            <w:hideMark/>
          </w:tcPr>
          <w:p w14:paraId="59331428" w14:textId="77777777" w:rsidR="008110C9" w:rsidRPr="008110C9" w:rsidRDefault="008110C9" w:rsidP="008110C9">
            <w:r w:rsidRPr="008110C9">
              <w:t>Other</w:t>
            </w:r>
          </w:p>
        </w:tc>
        <w:tc>
          <w:tcPr>
            <w:tcW w:w="2340" w:type="dxa"/>
            <w:noWrap/>
            <w:hideMark/>
          </w:tcPr>
          <w:p w14:paraId="17991F12" w14:textId="77777777" w:rsidR="008110C9" w:rsidRPr="008110C9" w:rsidRDefault="008110C9" w:rsidP="008110C9">
            <w:r w:rsidRPr="008110C9">
              <w:t> </w:t>
            </w:r>
          </w:p>
        </w:tc>
      </w:tr>
      <w:tr w:rsidR="008110C9" w:rsidRPr="008110C9" w14:paraId="10BCFA8B" w14:textId="77777777" w:rsidTr="00171F76">
        <w:trPr>
          <w:trHeight w:val="330"/>
        </w:trPr>
        <w:tc>
          <w:tcPr>
            <w:tcW w:w="5051" w:type="dxa"/>
            <w:gridSpan w:val="2"/>
            <w:noWrap/>
            <w:hideMark/>
          </w:tcPr>
          <w:p w14:paraId="6EC5DA86" w14:textId="77777777" w:rsidR="008110C9" w:rsidRPr="008110C9" w:rsidRDefault="008110C9" w:rsidP="008110C9">
            <w:pPr>
              <w:rPr>
                <w:b/>
                <w:bCs/>
              </w:rPr>
            </w:pPr>
            <w:r w:rsidRPr="008110C9">
              <w:rPr>
                <w:b/>
                <w:bCs/>
              </w:rPr>
              <w:t>AUTO/TRANSPORTATION EXPENSES</w:t>
            </w:r>
          </w:p>
        </w:tc>
        <w:tc>
          <w:tcPr>
            <w:tcW w:w="5744" w:type="dxa"/>
            <w:gridSpan w:val="2"/>
            <w:noWrap/>
            <w:hideMark/>
          </w:tcPr>
          <w:p w14:paraId="375D48C2" w14:textId="77777777" w:rsidR="008110C9" w:rsidRPr="008110C9" w:rsidRDefault="008110C9" w:rsidP="008110C9">
            <w:pPr>
              <w:rPr>
                <w:b/>
                <w:bCs/>
              </w:rPr>
            </w:pPr>
            <w:r w:rsidRPr="008110C9">
              <w:rPr>
                <w:b/>
                <w:bCs/>
              </w:rPr>
              <w:t>MEDICAL EXPENSES</w:t>
            </w:r>
          </w:p>
        </w:tc>
      </w:tr>
      <w:tr w:rsidR="008110C9" w:rsidRPr="008110C9" w14:paraId="4DF75840" w14:textId="77777777" w:rsidTr="00171F76">
        <w:trPr>
          <w:trHeight w:val="315"/>
        </w:trPr>
        <w:tc>
          <w:tcPr>
            <w:tcW w:w="3595" w:type="dxa"/>
            <w:noWrap/>
            <w:hideMark/>
          </w:tcPr>
          <w:p w14:paraId="3CE46596" w14:textId="77777777" w:rsidR="008110C9" w:rsidRPr="008110C9" w:rsidRDefault="008110C9" w:rsidP="008110C9">
            <w:r w:rsidRPr="008110C9">
              <w:t>Auto Payment</w:t>
            </w:r>
          </w:p>
        </w:tc>
        <w:tc>
          <w:tcPr>
            <w:tcW w:w="1456" w:type="dxa"/>
            <w:noWrap/>
            <w:hideMark/>
          </w:tcPr>
          <w:p w14:paraId="211A0316" w14:textId="77777777" w:rsidR="008110C9" w:rsidRPr="008110C9" w:rsidRDefault="008110C9" w:rsidP="008110C9">
            <w:r w:rsidRPr="008110C9">
              <w:t> </w:t>
            </w:r>
          </w:p>
        </w:tc>
        <w:tc>
          <w:tcPr>
            <w:tcW w:w="3404" w:type="dxa"/>
            <w:noWrap/>
            <w:hideMark/>
          </w:tcPr>
          <w:p w14:paraId="7DF5236D" w14:textId="77777777" w:rsidR="008110C9" w:rsidRPr="008110C9" w:rsidRDefault="008110C9" w:rsidP="008110C9">
            <w:r w:rsidRPr="008110C9">
              <w:t>Insurance</w:t>
            </w:r>
          </w:p>
        </w:tc>
        <w:tc>
          <w:tcPr>
            <w:tcW w:w="2340" w:type="dxa"/>
            <w:noWrap/>
            <w:hideMark/>
          </w:tcPr>
          <w:p w14:paraId="405D14E4" w14:textId="77777777" w:rsidR="008110C9" w:rsidRPr="008110C9" w:rsidRDefault="008110C9" w:rsidP="008110C9">
            <w:r w:rsidRPr="008110C9">
              <w:t> </w:t>
            </w:r>
          </w:p>
        </w:tc>
      </w:tr>
      <w:tr w:rsidR="008110C9" w:rsidRPr="008110C9" w14:paraId="46F82BDA" w14:textId="77777777" w:rsidTr="00171F76">
        <w:trPr>
          <w:trHeight w:val="315"/>
        </w:trPr>
        <w:tc>
          <w:tcPr>
            <w:tcW w:w="3595" w:type="dxa"/>
            <w:noWrap/>
            <w:hideMark/>
          </w:tcPr>
          <w:p w14:paraId="25017EE5" w14:textId="77777777" w:rsidR="008110C9" w:rsidRPr="008110C9" w:rsidRDefault="008110C9" w:rsidP="008110C9">
            <w:r w:rsidRPr="008110C9">
              <w:t>Insurance</w:t>
            </w:r>
          </w:p>
        </w:tc>
        <w:tc>
          <w:tcPr>
            <w:tcW w:w="1456" w:type="dxa"/>
            <w:noWrap/>
            <w:hideMark/>
          </w:tcPr>
          <w:p w14:paraId="456DE365" w14:textId="77777777" w:rsidR="008110C9" w:rsidRPr="008110C9" w:rsidRDefault="008110C9" w:rsidP="008110C9">
            <w:r w:rsidRPr="008110C9">
              <w:t> </w:t>
            </w:r>
          </w:p>
        </w:tc>
        <w:tc>
          <w:tcPr>
            <w:tcW w:w="3404" w:type="dxa"/>
            <w:noWrap/>
            <w:hideMark/>
          </w:tcPr>
          <w:p w14:paraId="23B9691E" w14:textId="77777777" w:rsidR="008110C9" w:rsidRPr="008110C9" w:rsidRDefault="008110C9" w:rsidP="008110C9">
            <w:r w:rsidRPr="008110C9">
              <w:t>Medication</w:t>
            </w:r>
          </w:p>
        </w:tc>
        <w:tc>
          <w:tcPr>
            <w:tcW w:w="2340" w:type="dxa"/>
            <w:noWrap/>
            <w:hideMark/>
          </w:tcPr>
          <w:p w14:paraId="1B026C0F" w14:textId="77777777" w:rsidR="008110C9" w:rsidRPr="008110C9" w:rsidRDefault="008110C9" w:rsidP="008110C9">
            <w:r w:rsidRPr="008110C9">
              <w:t> </w:t>
            </w:r>
          </w:p>
        </w:tc>
      </w:tr>
      <w:tr w:rsidR="008110C9" w:rsidRPr="008110C9" w14:paraId="4D4ABB40" w14:textId="77777777" w:rsidTr="00171F76">
        <w:trPr>
          <w:trHeight w:val="315"/>
        </w:trPr>
        <w:tc>
          <w:tcPr>
            <w:tcW w:w="3595" w:type="dxa"/>
            <w:noWrap/>
            <w:hideMark/>
          </w:tcPr>
          <w:p w14:paraId="39B73113" w14:textId="77777777" w:rsidR="008110C9" w:rsidRPr="008110C9" w:rsidRDefault="008110C9" w:rsidP="008110C9">
            <w:r w:rsidRPr="008110C9">
              <w:t>Gas</w:t>
            </w:r>
          </w:p>
        </w:tc>
        <w:tc>
          <w:tcPr>
            <w:tcW w:w="1456" w:type="dxa"/>
            <w:noWrap/>
            <w:hideMark/>
          </w:tcPr>
          <w:p w14:paraId="43E26870" w14:textId="77777777" w:rsidR="008110C9" w:rsidRPr="008110C9" w:rsidRDefault="008110C9" w:rsidP="008110C9">
            <w:r w:rsidRPr="008110C9">
              <w:t> </w:t>
            </w:r>
          </w:p>
        </w:tc>
        <w:tc>
          <w:tcPr>
            <w:tcW w:w="3404" w:type="dxa"/>
            <w:noWrap/>
            <w:hideMark/>
          </w:tcPr>
          <w:p w14:paraId="5FCD75EA" w14:textId="77777777" w:rsidR="008110C9" w:rsidRPr="008110C9" w:rsidRDefault="008110C9" w:rsidP="008110C9">
            <w:r w:rsidRPr="008110C9">
              <w:t>Co-pay</w:t>
            </w:r>
          </w:p>
        </w:tc>
        <w:tc>
          <w:tcPr>
            <w:tcW w:w="2340" w:type="dxa"/>
            <w:noWrap/>
            <w:hideMark/>
          </w:tcPr>
          <w:p w14:paraId="68317B0E" w14:textId="77777777" w:rsidR="008110C9" w:rsidRPr="008110C9" w:rsidRDefault="008110C9" w:rsidP="008110C9">
            <w:r w:rsidRPr="008110C9">
              <w:t> </w:t>
            </w:r>
          </w:p>
        </w:tc>
      </w:tr>
      <w:tr w:rsidR="008110C9" w:rsidRPr="008110C9" w14:paraId="0D783FCC" w14:textId="77777777" w:rsidTr="00171F76">
        <w:trPr>
          <w:trHeight w:val="330"/>
        </w:trPr>
        <w:tc>
          <w:tcPr>
            <w:tcW w:w="3595" w:type="dxa"/>
            <w:noWrap/>
            <w:hideMark/>
          </w:tcPr>
          <w:p w14:paraId="46FE670F" w14:textId="50325BDD" w:rsidR="008110C9" w:rsidRPr="008110C9" w:rsidRDefault="008110C9" w:rsidP="008110C9">
            <w:r w:rsidRPr="008110C9">
              <w:t>Repair/Maint</w:t>
            </w:r>
            <w:r w:rsidR="00FD2C21">
              <w:t>enance</w:t>
            </w:r>
          </w:p>
        </w:tc>
        <w:tc>
          <w:tcPr>
            <w:tcW w:w="1456" w:type="dxa"/>
            <w:noWrap/>
            <w:hideMark/>
          </w:tcPr>
          <w:p w14:paraId="28C47800" w14:textId="77777777" w:rsidR="008110C9" w:rsidRPr="008110C9" w:rsidRDefault="008110C9" w:rsidP="008110C9">
            <w:r w:rsidRPr="008110C9">
              <w:t> </w:t>
            </w:r>
          </w:p>
        </w:tc>
        <w:tc>
          <w:tcPr>
            <w:tcW w:w="3404" w:type="dxa"/>
            <w:noWrap/>
            <w:hideMark/>
          </w:tcPr>
          <w:p w14:paraId="143C71C4" w14:textId="77777777" w:rsidR="008110C9" w:rsidRPr="008110C9" w:rsidRDefault="008110C9" w:rsidP="008110C9">
            <w:r w:rsidRPr="008110C9">
              <w:t>Other</w:t>
            </w:r>
          </w:p>
        </w:tc>
        <w:tc>
          <w:tcPr>
            <w:tcW w:w="2340" w:type="dxa"/>
            <w:noWrap/>
            <w:hideMark/>
          </w:tcPr>
          <w:p w14:paraId="6DE536E7" w14:textId="77777777" w:rsidR="008110C9" w:rsidRPr="008110C9" w:rsidRDefault="008110C9" w:rsidP="008110C9">
            <w:r w:rsidRPr="008110C9">
              <w:t> </w:t>
            </w:r>
          </w:p>
        </w:tc>
      </w:tr>
      <w:tr w:rsidR="008110C9" w:rsidRPr="008110C9" w14:paraId="3977301F" w14:textId="77777777" w:rsidTr="00171F76">
        <w:trPr>
          <w:trHeight w:val="845"/>
        </w:trPr>
        <w:tc>
          <w:tcPr>
            <w:tcW w:w="3595" w:type="dxa"/>
            <w:noWrap/>
            <w:hideMark/>
          </w:tcPr>
          <w:p w14:paraId="59341C98" w14:textId="77777777" w:rsidR="008110C9" w:rsidRPr="008110C9" w:rsidRDefault="008110C9" w:rsidP="008110C9">
            <w:pPr>
              <w:rPr>
                <w:b/>
                <w:bCs/>
              </w:rPr>
            </w:pPr>
            <w:r w:rsidRPr="008110C9">
              <w:rPr>
                <w:b/>
                <w:bCs/>
              </w:rPr>
              <w:t>Participant Signature</w:t>
            </w:r>
          </w:p>
        </w:tc>
        <w:tc>
          <w:tcPr>
            <w:tcW w:w="1456" w:type="dxa"/>
            <w:noWrap/>
            <w:hideMark/>
          </w:tcPr>
          <w:p w14:paraId="3F39E8DB" w14:textId="77777777" w:rsidR="008110C9" w:rsidRPr="008110C9" w:rsidRDefault="008110C9" w:rsidP="008110C9">
            <w:pPr>
              <w:rPr>
                <w:b/>
                <w:bCs/>
              </w:rPr>
            </w:pPr>
            <w:r w:rsidRPr="008110C9">
              <w:rPr>
                <w:b/>
                <w:bCs/>
              </w:rPr>
              <w:t>Date</w:t>
            </w:r>
          </w:p>
        </w:tc>
        <w:tc>
          <w:tcPr>
            <w:tcW w:w="3404" w:type="dxa"/>
            <w:noWrap/>
            <w:hideMark/>
          </w:tcPr>
          <w:p w14:paraId="2BA6FA25" w14:textId="77777777" w:rsidR="008110C9" w:rsidRPr="008110C9" w:rsidRDefault="008110C9" w:rsidP="008110C9">
            <w:pPr>
              <w:rPr>
                <w:b/>
                <w:bCs/>
              </w:rPr>
            </w:pPr>
            <w:r w:rsidRPr="008110C9">
              <w:rPr>
                <w:b/>
                <w:bCs/>
              </w:rPr>
              <w:t>Case Manager</w:t>
            </w:r>
          </w:p>
        </w:tc>
        <w:tc>
          <w:tcPr>
            <w:tcW w:w="2340" w:type="dxa"/>
            <w:noWrap/>
            <w:hideMark/>
          </w:tcPr>
          <w:p w14:paraId="3FD71616" w14:textId="77777777" w:rsidR="008110C9" w:rsidRPr="008110C9" w:rsidRDefault="008110C9" w:rsidP="008110C9">
            <w:pPr>
              <w:rPr>
                <w:b/>
                <w:bCs/>
              </w:rPr>
            </w:pPr>
            <w:r w:rsidRPr="008110C9">
              <w:rPr>
                <w:b/>
                <w:bCs/>
              </w:rPr>
              <w:t>Date</w:t>
            </w:r>
          </w:p>
        </w:tc>
      </w:tr>
      <w:tr w:rsidR="008110C9" w:rsidRPr="008110C9" w14:paraId="73DAC62E" w14:textId="77777777" w:rsidTr="00171F76">
        <w:trPr>
          <w:trHeight w:val="795"/>
        </w:trPr>
        <w:tc>
          <w:tcPr>
            <w:tcW w:w="10795" w:type="dxa"/>
            <w:gridSpan w:val="4"/>
            <w:vMerge w:val="restart"/>
            <w:hideMark/>
          </w:tcPr>
          <w:p w14:paraId="2C7DDED8" w14:textId="77777777" w:rsidR="008110C9" w:rsidRPr="008110C9" w:rsidRDefault="008110C9" w:rsidP="008110C9">
            <w:r w:rsidRPr="008110C9">
              <w:rPr>
                <w:b/>
                <w:bCs/>
              </w:rPr>
              <w:t>Instructions:</w:t>
            </w:r>
            <w:r w:rsidRPr="008110C9">
              <w:t xml:space="preserve"> Fill in participant name and ID# in the appropriate box. Identify income sources and fill in the appropriate box. Fill in dollar amount of all expenses in the box next to the appropriate listed expense. Expenses not listed should be filled in as other. Total all income sources and list the dollar amount next to the Income Total box. Total all expenses and list the dollar amount next to the Expense Total box. Subtract Income Total for Expense Total to calculate the Difference and enter the dollar amount in the appropriate box. </w:t>
            </w:r>
          </w:p>
        </w:tc>
      </w:tr>
      <w:tr w:rsidR="008110C9" w:rsidRPr="008110C9" w14:paraId="162D3B1C" w14:textId="77777777" w:rsidTr="00171F76">
        <w:trPr>
          <w:trHeight w:val="780"/>
        </w:trPr>
        <w:tc>
          <w:tcPr>
            <w:tcW w:w="10795" w:type="dxa"/>
            <w:gridSpan w:val="4"/>
            <w:vMerge/>
            <w:hideMark/>
          </w:tcPr>
          <w:p w14:paraId="2AF1B804" w14:textId="77777777" w:rsidR="008110C9" w:rsidRPr="008110C9" w:rsidRDefault="008110C9" w:rsidP="008110C9"/>
        </w:tc>
      </w:tr>
    </w:tbl>
    <w:p w14:paraId="5A722BA9" w14:textId="77777777" w:rsidR="00A7154A" w:rsidRDefault="00A7154A" w:rsidP="00164896">
      <w:pPr>
        <w:rPr>
          <w:rFonts w:cstheme="minorHAnsi"/>
        </w:rPr>
      </w:pPr>
    </w:p>
    <w:p w14:paraId="610A1C80" w14:textId="5D2F7D28" w:rsidR="006D76F8" w:rsidRDefault="00423C10" w:rsidP="00423C10">
      <w:pPr>
        <w:jc w:val="center"/>
        <w:rPr>
          <w:rFonts w:cstheme="minorHAnsi"/>
        </w:rPr>
      </w:pPr>
      <w:r>
        <w:rPr>
          <w:noProof/>
        </w:rPr>
        <w:drawing>
          <wp:inline distT="0" distB="0" distL="0" distR="0" wp14:anchorId="1A104821" wp14:editId="7DABE417">
            <wp:extent cx="1535502" cy="399776"/>
            <wp:effectExtent l="0" t="0" r="7620" b="635"/>
            <wp:docPr id="4" name="Picture 4" descr="Oklahoma Works Logo" title="Oklahoma Wor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598323" cy="416132"/>
                    </a:xfrm>
                    <a:prstGeom prst="rect">
                      <a:avLst/>
                    </a:prstGeom>
                  </pic:spPr>
                </pic:pic>
              </a:graphicData>
            </a:graphic>
          </wp:inline>
        </w:drawing>
      </w:r>
    </w:p>
    <w:p w14:paraId="3C1C6E16" w14:textId="77777777" w:rsidR="00423C10" w:rsidRPr="00423C10" w:rsidRDefault="00423C10" w:rsidP="00423C10">
      <w:pPr>
        <w:jc w:val="center"/>
        <w:rPr>
          <w:sz w:val="16"/>
          <w:szCs w:val="16"/>
        </w:rPr>
      </w:pPr>
      <w:r w:rsidRPr="00423C10">
        <w:rPr>
          <w:sz w:val="16"/>
          <w:szCs w:val="16"/>
        </w:rPr>
        <w:t>Equal opportunity employment/program. Auxiliary aids and services are available upon request to individuals with disabilities.</w:t>
      </w:r>
    </w:p>
    <w:p w14:paraId="01E1523C" w14:textId="77777777" w:rsidR="00423C10" w:rsidRPr="00E357FA" w:rsidRDefault="00423C10" w:rsidP="00423C10">
      <w:pPr>
        <w:jc w:val="center"/>
        <w:rPr>
          <w:rFonts w:cstheme="minorHAnsi"/>
        </w:rPr>
      </w:pPr>
    </w:p>
    <w:sectPr w:rsidR="00423C10" w:rsidRPr="00E357FA" w:rsidSect="00734172">
      <w:headerReference w:type="first" r:id="rId33"/>
      <w:pgSz w:w="12240" w:h="15840"/>
      <w:pgMar w:top="720" w:right="720" w:bottom="720" w:left="720" w:header="432"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BE853" w14:textId="77777777" w:rsidR="0071381B" w:rsidRDefault="0071381B" w:rsidP="005E7CB0">
      <w:pPr>
        <w:spacing w:after="0" w:line="240" w:lineRule="auto"/>
      </w:pPr>
      <w:r>
        <w:separator/>
      </w:r>
    </w:p>
  </w:endnote>
  <w:endnote w:type="continuationSeparator" w:id="0">
    <w:p w14:paraId="67A4AD01" w14:textId="77777777" w:rsidR="0071381B" w:rsidRDefault="0071381B" w:rsidP="005E7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3146820"/>
      <w:docPartObj>
        <w:docPartGallery w:val="Page Numbers (Bottom of Page)"/>
        <w:docPartUnique/>
      </w:docPartObj>
    </w:sdtPr>
    <w:sdtEndPr>
      <w:rPr>
        <w:color w:val="7F7F7F" w:themeColor="background1" w:themeShade="7F"/>
        <w:spacing w:val="60"/>
      </w:rPr>
    </w:sdtEndPr>
    <w:sdtContent>
      <w:p w14:paraId="40938987" w14:textId="37B332ED" w:rsidR="00D95414" w:rsidRDefault="00D9541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E024189" w14:textId="77777777" w:rsidR="00D95414" w:rsidRDefault="00D954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F1978" w14:textId="423FE875" w:rsidR="00D95414" w:rsidRDefault="00D95414">
    <w:pPr>
      <w:pStyle w:val="Footer"/>
      <w:pBdr>
        <w:top w:val="single" w:sz="4" w:space="1" w:color="D9D9D9" w:themeColor="background1" w:themeShade="D9"/>
      </w:pBdr>
      <w:jc w:val="right"/>
    </w:pPr>
  </w:p>
  <w:p w14:paraId="2BE41127" w14:textId="77777777" w:rsidR="00D95414" w:rsidRDefault="00D954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55358" w14:textId="77777777" w:rsidR="0071381B" w:rsidRDefault="0071381B" w:rsidP="005E7CB0">
      <w:pPr>
        <w:spacing w:after="0" w:line="240" w:lineRule="auto"/>
      </w:pPr>
      <w:r>
        <w:separator/>
      </w:r>
    </w:p>
  </w:footnote>
  <w:footnote w:type="continuationSeparator" w:id="0">
    <w:p w14:paraId="32E22DDF" w14:textId="77777777" w:rsidR="0071381B" w:rsidRDefault="0071381B" w:rsidP="005E7C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16AFE" w14:textId="14693935" w:rsidR="00D95414" w:rsidRDefault="00D95414" w:rsidP="007D2AAD">
    <w:pPr>
      <w:pStyle w:val="Header"/>
    </w:pPr>
    <w:r w:rsidRPr="00952092">
      <w:t xml:space="preserve">Northeast Workforce Development Board </w:t>
    </w:r>
    <w:r w:rsidRPr="00952092">
      <w:tab/>
      <w:t xml:space="preserve">                            </w:t>
    </w:r>
    <w:r>
      <w:t xml:space="preserve"> </w:t>
    </w:r>
    <w:r w:rsidRPr="00952092">
      <w:t xml:space="preserve"> </w:t>
    </w:r>
    <w:r>
      <w:t xml:space="preserve">Adult/Dislocated Worker Policy &amp; Procedures </w:t>
    </w:r>
  </w:p>
  <w:p w14:paraId="66F808FE" w14:textId="2C9D71FF" w:rsidR="00D95414" w:rsidRDefault="00D95414" w:rsidP="007D2AAD">
    <w:pPr>
      <w:pStyle w:val="Header"/>
      <w:jc w:val="right"/>
    </w:pPr>
    <w:r>
      <w:t>Revised 2.12.2020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2AEB6" w14:textId="56EDBB20" w:rsidR="00D95414" w:rsidRDefault="00D95414">
    <w:pPr>
      <w:pStyle w:val="Header"/>
    </w:pPr>
    <w:r>
      <w:ptab w:relativeTo="margin" w:alignment="right" w:leader="none"/>
    </w:r>
    <w:r>
      <w:t>Revised 2.12.2020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0D9BD" w14:textId="53A8067C" w:rsidR="00D95414" w:rsidRPr="00952092" w:rsidRDefault="00D95414" w:rsidP="00423C10">
    <w:pPr>
      <w:pStyle w:val="Header"/>
    </w:pPr>
    <w:r w:rsidRPr="00952092">
      <w:t xml:space="preserve">Northeast Workforce Development Board </w:t>
    </w:r>
    <w:r w:rsidRPr="00952092">
      <w:tab/>
    </w:r>
    <w:r w:rsidRPr="00952092">
      <w:ptab w:relativeTo="margin" w:alignment="center" w:leader="none"/>
    </w:r>
    <w:r w:rsidRPr="00952092">
      <w:t xml:space="preserve">                                                                                    Adult/DLW Policy </w:t>
    </w:r>
  </w:p>
  <w:p w14:paraId="584DE267" w14:textId="72391CAD" w:rsidR="00D95414" w:rsidRDefault="00D95414" w:rsidP="00952092">
    <w:pPr>
      <w:pStyle w:val="Header"/>
    </w:pPr>
    <w:r w:rsidRPr="00952092">
      <w:t xml:space="preserve">Attachment A   </w:t>
    </w:r>
    <w:r>
      <w:t xml:space="preserve">                                                                                                                                                     Revised 2.12.2020</w:t>
    </w:r>
    <w:r w:rsidRPr="00952092">
      <w:t xml:space="preserve">               </w:t>
    </w:r>
    <w:r w:rsidRPr="00952092">
      <w:tab/>
    </w:r>
    <w:r w:rsidRPr="00952092">
      <w:tab/>
      <w:t xml:space="preserve">          </w:t>
    </w:r>
    <w:r>
      <w:t xml:space="preserve">           </w:t>
    </w:r>
    <w:r>
      <w:rPr>
        <w:sz w:val="23"/>
        <w:szCs w:val="23"/>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162B6" w14:textId="77777777" w:rsidR="00D95414" w:rsidRDefault="00D95414" w:rsidP="00423C10">
    <w:pPr>
      <w:pStyle w:val="Header"/>
      <w:rPr>
        <w:sz w:val="23"/>
        <w:szCs w:val="23"/>
      </w:rPr>
    </w:pPr>
    <w:r>
      <w:rPr>
        <w:sz w:val="23"/>
        <w:szCs w:val="23"/>
      </w:rPr>
      <w:t xml:space="preserve">Northeast Workforce Development Board </w:t>
    </w:r>
    <w:r>
      <w:rPr>
        <w:sz w:val="23"/>
        <w:szCs w:val="23"/>
      </w:rPr>
      <w:tab/>
    </w:r>
    <w:r w:rsidRPr="001676AD">
      <w:rPr>
        <w:sz w:val="23"/>
        <w:szCs w:val="23"/>
      </w:rPr>
      <w:ptab w:relativeTo="margin" w:alignment="center" w:leader="none"/>
    </w:r>
    <w:r>
      <w:rPr>
        <w:sz w:val="23"/>
        <w:szCs w:val="23"/>
      </w:rPr>
      <w:t xml:space="preserve">                                                                                    Adult/DLW Policy </w:t>
    </w:r>
  </w:p>
  <w:p w14:paraId="4AC66779" w14:textId="1FF507B7" w:rsidR="00D95414" w:rsidRPr="00423C10" w:rsidRDefault="00D95414" w:rsidP="00423C10">
    <w:pPr>
      <w:pStyle w:val="Header"/>
    </w:pPr>
    <w:r>
      <w:rPr>
        <w:sz w:val="23"/>
        <w:szCs w:val="23"/>
      </w:rPr>
      <w:t>Attachment B</w:t>
    </w:r>
    <w:r>
      <w:rPr>
        <w:sz w:val="23"/>
        <w:szCs w:val="23"/>
      </w:rPr>
      <w:tab/>
      <w:t xml:space="preserve">                                                                                                                                                      Revised 12.12.19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A0208"/>
    <w:multiLevelType w:val="hybridMultilevel"/>
    <w:tmpl w:val="4B9AD1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6054FF"/>
    <w:multiLevelType w:val="hybridMultilevel"/>
    <w:tmpl w:val="A4A83EC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5B94431"/>
    <w:multiLevelType w:val="hybridMultilevel"/>
    <w:tmpl w:val="B95EBD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FF448D"/>
    <w:multiLevelType w:val="hybridMultilevel"/>
    <w:tmpl w:val="4B1AB5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65D5EC3"/>
    <w:multiLevelType w:val="hybridMultilevel"/>
    <w:tmpl w:val="C9E296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0F5DC5"/>
    <w:multiLevelType w:val="hybridMultilevel"/>
    <w:tmpl w:val="2F901F9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9953DAC"/>
    <w:multiLevelType w:val="hybridMultilevel"/>
    <w:tmpl w:val="53DA31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0AC37E5B"/>
    <w:multiLevelType w:val="hybridMultilevel"/>
    <w:tmpl w:val="58A05D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E33700C"/>
    <w:multiLevelType w:val="hybridMultilevel"/>
    <w:tmpl w:val="8EB2D7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6D9468E"/>
    <w:multiLevelType w:val="hybridMultilevel"/>
    <w:tmpl w:val="DCD0D0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7A849A2"/>
    <w:multiLevelType w:val="hybridMultilevel"/>
    <w:tmpl w:val="014AE22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8646BA0"/>
    <w:multiLevelType w:val="hybridMultilevel"/>
    <w:tmpl w:val="5302D35C"/>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C727257"/>
    <w:multiLevelType w:val="hybridMultilevel"/>
    <w:tmpl w:val="A62C78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D9772C5"/>
    <w:multiLevelType w:val="hybridMultilevel"/>
    <w:tmpl w:val="CA5CC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67E657C"/>
    <w:multiLevelType w:val="hybridMultilevel"/>
    <w:tmpl w:val="64C41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7F87E03"/>
    <w:multiLevelType w:val="hybridMultilevel"/>
    <w:tmpl w:val="2CC285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A7917F2"/>
    <w:multiLevelType w:val="hybridMultilevel"/>
    <w:tmpl w:val="19C634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825C02"/>
    <w:multiLevelType w:val="hybridMultilevel"/>
    <w:tmpl w:val="84E4B3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294CE3"/>
    <w:multiLevelType w:val="hybridMultilevel"/>
    <w:tmpl w:val="AAA63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7006CD"/>
    <w:multiLevelType w:val="hybridMultilevel"/>
    <w:tmpl w:val="AB6E422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7D76F05"/>
    <w:multiLevelType w:val="hybridMultilevel"/>
    <w:tmpl w:val="397CD4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593A3E"/>
    <w:multiLevelType w:val="hybridMultilevel"/>
    <w:tmpl w:val="58F05CB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35C6321"/>
    <w:multiLevelType w:val="hybridMultilevel"/>
    <w:tmpl w:val="EEC8F2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653982"/>
    <w:multiLevelType w:val="hybridMultilevel"/>
    <w:tmpl w:val="C84EEAC2"/>
    <w:lvl w:ilvl="0" w:tplc="3F502A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DEE7371"/>
    <w:multiLevelType w:val="hybridMultilevel"/>
    <w:tmpl w:val="914230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ECA5397"/>
    <w:multiLevelType w:val="hybridMultilevel"/>
    <w:tmpl w:val="397A5E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43D7703"/>
    <w:multiLevelType w:val="hybridMultilevel"/>
    <w:tmpl w:val="E68E610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CE30EF"/>
    <w:multiLevelType w:val="multilevel"/>
    <w:tmpl w:val="277ADC0E"/>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upperLetter"/>
      <w:pStyle w:val="Heading3"/>
      <w:lvlText w:val="%3."/>
      <w:lvlJc w:val="left"/>
      <w:pPr>
        <w:ind w:left="612"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8" w15:restartNumberingAfterBreak="0">
    <w:nsid w:val="54CF4D32"/>
    <w:multiLevelType w:val="hybridMultilevel"/>
    <w:tmpl w:val="54022F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7EE1074"/>
    <w:multiLevelType w:val="hybridMultilevel"/>
    <w:tmpl w:val="ECA04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E570B11"/>
    <w:multiLevelType w:val="hybridMultilevel"/>
    <w:tmpl w:val="12DE27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FAC0F67"/>
    <w:multiLevelType w:val="hybridMultilevel"/>
    <w:tmpl w:val="0DACE50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0241FF5"/>
    <w:multiLevelType w:val="hybridMultilevel"/>
    <w:tmpl w:val="4CFCEB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27E3EB6"/>
    <w:multiLevelType w:val="hybridMultilevel"/>
    <w:tmpl w:val="314A4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3157680"/>
    <w:multiLevelType w:val="hybridMultilevel"/>
    <w:tmpl w:val="6846A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1D2B35"/>
    <w:multiLevelType w:val="hybridMultilevel"/>
    <w:tmpl w:val="8112F00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FDE6531"/>
    <w:multiLevelType w:val="hybridMultilevel"/>
    <w:tmpl w:val="A4B08FC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05666CF"/>
    <w:multiLevelType w:val="hybridMultilevel"/>
    <w:tmpl w:val="AA36691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2921306"/>
    <w:multiLevelType w:val="hybridMultilevel"/>
    <w:tmpl w:val="0DA6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3642181"/>
    <w:multiLevelType w:val="hybridMultilevel"/>
    <w:tmpl w:val="460EF29E"/>
    <w:lvl w:ilvl="0" w:tplc="FA54169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407F0E"/>
    <w:multiLevelType w:val="hybridMultilevel"/>
    <w:tmpl w:val="E3D61E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4651FF7"/>
    <w:multiLevelType w:val="hybridMultilevel"/>
    <w:tmpl w:val="2118F54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9F04A0"/>
    <w:multiLevelType w:val="hybridMultilevel"/>
    <w:tmpl w:val="401037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937028F"/>
    <w:multiLevelType w:val="hybridMultilevel"/>
    <w:tmpl w:val="2C203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AB41F6E"/>
    <w:multiLevelType w:val="hybridMultilevel"/>
    <w:tmpl w:val="E46464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3"/>
  </w:num>
  <w:num w:numId="2">
    <w:abstractNumId w:val="27"/>
  </w:num>
  <w:num w:numId="3">
    <w:abstractNumId w:val="39"/>
  </w:num>
  <w:num w:numId="4">
    <w:abstractNumId w:val="29"/>
  </w:num>
  <w:num w:numId="5">
    <w:abstractNumId w:val="20"/>
  </w:num>
  <w:num w:numId="6">
    <w:abstractNumId w:val="15"/>
  </w:num>
  <w:num w:numId="7">
    <w:abstractNumId w:val="17"/>
  </w:num>
  <w:num w:numId="8">
    <w:abstractNumId w:val="13"/>
  </w:num>
  <w:num w:numId="9">
    <w:abstractNumId w:val="43"/>
  </w:num>
  <w:num w:numId="10">
    <w:abstractNumId w:val="30"/>
  </w:num>
  <w:num w:numId="11">
    <w:abstractNumId w:val="32"/>
  </w:num>
  <w:num w:numId="12">
    <w:abstractNumId w:val="34"/>
  </w:num>
  <w:num w:numId="13">
    <w:abstractNumId w:val="8"/>
  </w:num>
  <w:num w:numId="14">
    <w:abstractNumId w:val="9"/>
  </w:num>
  <w:num w:numId="15">
    <w:abstractNumId w:val="38"/>
  </w:num>
  <w:num w:numId="16">
    <w:abstractNumId w:val="26"/>
  </w:num>
  <w:num w:numId="17">
    <w:abstractNumId w:val="3"/>
  </w:num>
  <w:num w:numId="18">
    <w:abstractNumId w:val="0"/>
  </w:num>
  <w:num w:numId="19">
    <w:abstractNumId w:val="24"/>
  </w:num>
  <w:num w:numId="20">
    <w:abstractNumId w:val="36"/>
  </w:num>
  <w:num w:numId="21">
    <w:abstractNumId w:val="1"/>
  </w:num>
  <w:num w:numId="22">
    <w:abstractNumId w:val="40"/>
  </w:num>
  <w:num w:numId="23">
    <w:abstractNumId w:val="19"/>
  </w:num>
  <w:num w:numId="24">
    <w:abstractNumId w:val="6"/>
  </w:num>
  <w:num w:numId="25">
    <w:abstractNumId w:val="5"/>
  </w:num>
  <w:num w:numId="26">
    <w:abstractNumId w:val="2"/>
  </w:num>
  <w:num w:numId="27">
    <w:abstractNumId w:val="21"/>
  </w:num>
  <w:num w:numId="28">
    <w:abstractNumId w:val="11"/>
  </w:num>
  <w:num w:numId="29">
    <w:abstractNumId w:val="23"/>
  </w:num>
  <w:num w:numId="30">
    <w:abstractNumId w:val="22"/>
  </w:num>
  <w:num w:numId="31">
    <w:abstractNumId w:val="14"/>
  </w:num>
  <w:num w:numId="32">
    <w:abstractNumId w:val="37"/>
  </w:num>
  <w:num w:numId="33">
    <w:abstractNumId w:val="10"/>
  </w:num>
  <w:num w:numId="34">
    <w:abstractNumId w:val="7"/>
  </w:num>
  <w:num w:numId="35">
    <w:abstractNumId w:val="44"/>
  </w:num>
  <w:num w:numId="36">
    <w:abstractNumId w:val="35"/>
  </w:num>
  <w:num w:numId="37">
    <w:abstractNumId w:val="31"/>
  </w:num>
  <w:num w:numId="38">
    <w:abstractNumId w:val="12"/>
  </w:num>
  <w:num w:numId="39">
    <w:abstractNumId w:val="41"/>
  </w:num>
  <w:num w:numId="40">
    <w:abstractNumId w:val="25"/>
  </w:num>
  <w:num w:numId="41">
    <w:abstractNumId w:val="42"/>
  </w:num>
  <w:num w:numId="42">
    <w:abstractNumId w:val="4"/>
  </w:num>
  <w:num w:numId="43">
    <w:abstractNumId w:val="28"/>
  </w:num>
  <w:num w:numId="44">
    <w:abstractNumId w:val="16"/>
  </w:num>
  <w:num w:numId="45">
    <w:abstractNumId w:val="1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ocumentProtection w:edit="readOnly" w:formatting="1" w:enforcement="1" w:cryptProviderType="rsaAES" w:cryptAlgorithmClass="hash" w:cryptAlgorithmType="typeAny" w:cryptAlgorithmSid="14" w:cryptSpinCount="100000" w:hash="/1X7+Y5rUfU6yP5uFqGJzQP39nqS1prvTC8Zo+UPnpd6gHFZXQ59Wesi56sWkKAILnazg80oQn9QjJiEO8Lw5A==" w:salt="NLn30OGZ4IRe0tg/Pudeo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UwMjGzNLU0MDY0MLZU0lEKTi0uzszPAykwNKgFALShML0tAAAA"/>
  </w:docVars>
  <w:rsids>
    <w:rsidRoot w:val="005E7CB0"/>
    <w:rsid w:val="00006444"/>
    <w:rsid w:val="00032C69"/>
    <w:rsid w:val="00040DF9"/>
    <w:rsid w:val="0004427F"/>
    <w:rsid w:val="00047D19"/>
    <w:rsid w:val="00053AEE"/>
    <w:rsid w:val="000566A9"/>
    <w:rsid w:val="000607E8"/>
    <w:rsid w:val="000662B3"/>
    <w:rsid w:val="00067F2F"/>
    <w:rsid w:val="0007171A"/>
    <w:rsid w:val="000750A2"/>
    <w:rsid w:val="00092E15"/>
    <w:rsid w:val="00094DC8"/>
    <w:rsid w:val="000A2B7C"/>
    <w:rsid w:val="000A3CEF"/>
    <w:rsid w:val="000B2A77"/>
    <w:rsid w:val="000B6880"/>
    <w:rsid w:val="000D1236"/>
    <w:rsid w:val="000D333A"/>
    <w:rsid w:val="000D4169"/>
    <w:rsid w:val="000E0A40"/>
    <w:rsid w:val="000E17BE"/>
    <w:rsid w:val="000F14DB"/>
    <w:rsid w:val="000F5974"/>
    <w:rsid w:val="001017D3"/>
    <w:rsid w:val="00107EFF"/>
    <w:rsid w:val="0011224D"/>
    <w:rsid w:val="00117BC7"/>
    <w:rsid w:val="00121173"/>
    <w:rsid w:val="0013711A"/>
    <w:rsid w:val="0014111E"/>
    <w:rsid w:val="001418BB"/>
    <w:rsid w:val="00142714"/>
    <w:rsid w:val="00145BA2"/>
    <w:rsid w:val="00147B1A"/>
    <w:rsid w:val="00163210"/>
    <w:rsid w:val="00163C23"/>
    <w:rsid w:val="00164896"/>
    <w:rsid w:val="001676AD"/>
    <w:rsid w:val="00171F76"/>
    <w:rsid w:val="001837BC"/>
    <w:rsid w:val="001842A1"/>
    <w:rsid w:val="0018761C"/>
    <w:rsid w:val="00190AE8"/>
    <w:rsid w:val="00192931"/>
    <w:rsid w:val="001A30BA"/>
    <w:rsid w:val="001A5B45"/>
    <w:rsid w:val="001B1DA1"/>
    <w:rsid w:val="001D2E98"/>
    <w:rsid w:val="001E2D27"/>
    <w:rsid w:val="001E63B7"/>
    <w:rsid w:val="001F4A1E"/>
    <w:rsid w:val="001F67BB"/>
    <w:rsid w:val="002031CE"/>
    <w:rsid w:val="00204FF0"/>
    <w:rsid w:val="0020782B"/>
    <w:rsid w:val="00217FD7"/>
    <w:rsid w:val="002368F9"/>
    <w:rsid w:val="00237237"/>
    <w:rsid w:val="00240D21"/>
    <w:rsid w:val="00241B30"/>
    <w:rsid w:val="00245459"/>
    <w:rsid w:val="00247B18"/>
    <w:rsid w:val="00252656"/>
    <w:rsid w:val="00255E85"/>
    <w:rsid w:val="00260663"/>
    <w:rsid w:val="002640BA"/>
    <w:rsid w:val="002758C6"/>
    <w:rsid w:val="00287554"/>
    <w:rsid w:val="00291021"/>
    <w:rsid w:val="00291D66"/>
    <w:rsid w:val="00293302"/>
    <w:rsid w:val="0029661F"/>
    <w:rsid w:val="00297B15"/>
    <w:rsid w:val="002A0118"/>
    <w:rsid w:val="002B17B9"/>
    <w:rsid w:val="002C3774"/>
    <w:rsid w:val="002C662F"/>
    <w:rsid w:val="002D5119"/>
    <w:rsid w:val="002E172E"/>
    <w:rsid w:val="002F4DDD"/>
    <w:rsid w:val="002F5359"/>
    <w:rsid w:val="00302727"/>
    <w:rsid w:val="00302897"/>
    <w:rsid w:val="00310BB3"/>
    <w:rsid w:val="00323A6C"/>
    <w:rsid w:val="00324F06"/>
    <w:rsid w:val="003258A4"/>
    <w:rsid w:val="0033273D"/>
    <w:rsid w:val="00336091"/>
    <w:rsid w:val="0034621B"/>
    <w:rsid w:val="0034687F"/>
    <w:rsid w:val="0035265F"/>
    <w:rsid w:val="0035779E"/>
    <w:rsid w:val="003822F7"/>
    <w:rsid w:val="00383C29"/>
    <w:rsid w:val="0039276E"/>
    <w:rsid w:val="00394922"/>
    <w:rsid w:val="00395011"/>
    <w:rsid w:val="003A2962"/>
    <w:rsid w:val="003A4BC8"/>
    <w:rsid w:val="003B6B58"/>
    <w:rsid w:val="003C29F9"/>
    <w:rsid w:val="003D0EE6"/>
    <w:rsid w:val="003D6146"/>
    <w:rsid w:val="003E2FD8"/>
    <w:rsid w:val="003E4449"/>
    <w:rsid w:val="003E7A8F"/>
    <w:rsid w:val="003F24EF"/>
    <w:rsid w:val="00410B6F"/>
    <w:rsid w:val="00412DE1"/>
    <w:rsid w:val="00416589"/>
    <w:rsid w:val="004236CD"/>
    <w:rsid w:val="00423C10"/>
    <w:rsid w:val="00425182"/>
    <w:rsid w:val="0043027E"/>
    <w:rsid w:val="00430AF0"/>
    <w:rsid w:val="00440DB1"/>
    <w:rsid w:val="00440FB0"/>
    <w:rsid w:val="004457F8"/>
    <w:rsid w:val="004464EA"/>
    <w:rsid w:val="00455FD2"/>
    <w:rsid w:val="004621E3"/>
    <w:rsid w:val="00464DA4"/>
    <w:rsid w:val="0046775A"/>
    <w:rsid w:val="00467D97"/>
    <w:rsid w:val="0047350C"/>
    <w:rsid w:val="00476D8B"/>
    <w:rsid w:val="004829F8"/>
    <w:rsid w:val="00486E2B"/>
    <w:rsid w:val="00490E5A"/>
    <w:rsid w:val="00494324"/>
    <w:rsid w:val="004A0FE1"/>
    <w:rsid w:val="004B3566"/>
    <w:rsid w:val="004B7579"/>
    <w:rsid w:val="004C08F0"/>
    <w:rsid w:val="004C302F"/>
    <w:rsid w:val="004C3DB5"/>
    <w:rsid w:val="004C4136"/>
    <w:rsid w:val="004D044F"/>
    <w:rsid w:val="004D3944"/>
    <w:rsid w:val="004E6F59"/>
    <w:rsid w:val="004E7D7C"/>
    <w:rsid w:val="004F24BA"/>
    <w:rsid w:val="004F2597"/>
    <w:rsid w:val="004F430E"/>
    <w:rsid w:val="004F5CA0"/>
    <w:rsid w:val="0051095F"/>
    <w:rsid w:val="00522328"/>
    <w:rsid w:val="0052398F"/>
    <w:rsid w:val="005266D3"/>
    <w:rsid w:val="005268F8"/>
    <w:rsid w:val="00536D6F"/>
    <w:rsid w:val="00537016"/>
    <w:rsid w:val="00555D61"/>
    <w:rsid w:val="00555F3B"/>
    <w:rsid w:val="005563D0"/>
    <w:rsid w:val="00556CF0"/>
    <w:rsid w:val="00557123"/>
    <w:rsid w:val="005602C7"/>
    <w:rsid w:val="00560FDF"/>
    <w:rsid w:val="00562F43"/>
    <w:rsid w:val="00594BD4"/>
    <w:rsid w:val="005A153A"/>
    <w:rsid w:val="005A195C"/>
    <w:rsid w:val="005A3FFC"/>
    <w:rsid w:val="005B20ED"/>
    <w:rsid w:val="005C2E6A"/>
    <w:rsid w:val="005C38C6"/>
    <w:rsid w:val="005D4008"/>
    <w:rsid w:val="005D70E1"/>
    <w:rsid w:val="005E0E35"/>
    <w:rsid w:val="005E3F28"/>
    <w:rsid w:val="005E7980"/>
    <w:rsid w:val="005E7CB0"/>
    <w:rsid w:val="005F2F89"/>
    <w:rsid w:val="005F5060"/>
    <w:rsid w:val="005F5E36"/>
    <w:rsid w:val="005F68F4"/>
    <w:rsid w:val="00614335"/>
    <w:rsid w:val="006173CD"/>
    <w:rsid w:val="00621D34"/>
    <w:rsid w:val="00622152"/>
    <w:rsid w:val="00624DAC"/>
    <w:rsid w:val="006315B5"/>
    <w:rsid w:val="00641E59"/>
    <w:rsid w:val="006548D8"/>
    <w:rsid w:val="006604B8"/>
    <w:rsid w:val="00660AA2"/>
    <w:rsid w:val="006635F4"/>
    <w:rsid w:val="00682819"/>
    <w:rsid w:val="00690636"/>
    <w:rsid w:val="006A63F6"/>
    <w:rsid w:val="006B090D"/>
    <w:rsid w:val="006C539D"/>
    <w:rsid w:val="006D1F64"/>
    <w:rsid w:val="006D6A56"/>
    <w:rsid w:val="006D76F8"/>
    <w:rsid w:val="006E0DEA"/>
    <w:rsid w:val="006E0EEE"/>
    <w:rsid w:val="006E496B"/>
    <w:rsid w:val="006E75F8"/>
    <w:rsid w:val="006F4BD4"/>
    <w:rsid w:val="00712D4E"/>
    <w:rsid w:val="0071381B"/>
    <w:rsid w:val="00713859"/>
    <w:rsid w:val="00717572"/>
    <w:rsid w:val="00726777"/>
    <w:rsid w:val="00734172"/>
    <w:rsid w:val="00736CE8"/>
    <w:rsid w:val="00745596"/>
    <w:rsid w:val="007536A6"/>
    <w:rsid w:val="00754BC3"/>
    <w:rsid w:val="00764A15"/>
    <w:rsid w:val="007707ED"/>
    <w:rsid w:val="00795427"/>
    <w:rsid w:val="0079606A"/>
    <w:rsid w:val="007A6975"/>
    <w:rsid w:val="007B114C"/>
    <w:rsid w:val="007D2AAD"/>
    <w:rsid w:val="007E1625"/>
    <w:rsid w:val="00805A40"/>
    <w:rsid w:val="008110C9"/>
    <w:rsid w:val="00811F92"/>
    <w:rsid w:val="00813651"/>
    <w:rsid w:val="008157EE"/>
    <w:rsid w:val="00820075"/>
    <w:rsid w:val="00822F19"/>
    <w:rsid w:val="00824ED1"/>
    <w:rsid w:val="008251FF"/>
    <w:rsid w:val="00835C13"/>
    <w:rsid w:val="00850401"/>
    <w:rsid w:val="0086085B"/>
    <w:rsid w:val="00864658"/>
    <w:rsid w:val="00864D56"/>
    <w:rsid w:val="0086663E"/>
    <w:rsid w:val="00867022"/>
    <w:rsid w:val="008746E3"/>
    <w:rsid w:val="00875B26"/>
    <w:rsid w:val="008814A6"/>
    <w:rsid w:val="00887948"/>
    <w:rsid w:val="008974FE"/>
    <w:rsid w:val="008B5580"/>
    <w:rsid w:val="008C4013"/>
    <w:rsid w:val="008E17A4"/>
    <w:rsid w:val="008F0AC5"/>
    <w:rsid w:val="008F5AA3"/>
    <w:rsid w:val="009030F4"/>
    <w:rsid w:val="009141D7"/>
    <w:rsid w:val="00916684"/>
    <w:rsid w:val="009227B1"/>
    <w:rsid w:val="00923BB6"/>
    <w:rsid w:val="00931662"/>
    <w:rsid w:val="009335F7"/>
    <w:rsid w:val="00942D4B"/>
    <w:rsid w:val="00952092"/>
    <w:rsid w:val="00955476"/>
    <w:rsid w:val="00961FF1"/>
    <w:rsid w:val="009641C9"/>
    <w:rsid w:val="009720C9"/>
    <w:rsid w:val="00972BB0"/>
    <w:rsid w:val="00972F0E"/>
    <w:rsid w:val="00977575"/>
    <w:rsid w:val="00977594"/>
    <w:rsid w:val="0098164A"/>
    <w:rsid w:val="00983738"/>
    <w:rsid w:val="009846FF"/>
    <w:rsid w:val="00984743"/>
    <w:rsid w:val="0099340F"/>
    <w:rsid w:val="00995A89"/>
    <w:rsid w:val="00995C4B"/>
    <w:rsid w:val="0099615B"/>
    <w:rsid w:val="009C18AB"/>
    <w:rsid w:val="009C1B9A"/>
    <w:rsid w:val="009D0780"/>
    <w:rsid w:val="009D0F9B"/>
    <w:rsid w:val="009D5771"/>
    <w:rsid w:val="009D660A"/>
    <w:rsid w:val="009D7AC3"/>
    <w:rsid w:val="009E1CCC"/>
    <w:rsid w:val="009E31DF"/>
    <w:rsid w:val="009E4313"/>
    <w:rsid w:val="00A00026"/>
    <w:rsid w:val="00A008D6"/>
    <w:rsid w:val="00A03CA4"/>
    <w:rsid w:val="00A05BFD"/>
    <w:rsid w:val="00A158C9"/>
    <w:rsid w:val="00A16056"/>
    <w:rsid w:val="00A27F2C"/>
    <w:rsid w:val="00A44BBF"/>
    <w:rsid w:val="00A44D77"/>
    <w:rsid w:val="00A66FFA"/>
    <w:rsid w:val="00A7154A"/>
    <w:rsid w:val="00A72E1A"/>
    <w:rsid w:val="00A75A6C"/>
    <w:rsid w:val="00A8139C"/>
    <w:rsid w:val="00A860DB"/>
    <w:rsid w:val="00A87E06"/>
    <w:rsid w:val="00AA15AA"/>
    <w:rsid w:val="00AA6F76"/>
    <w:rsid w:val="00AA730E"/>
    <w:rsid w:val="00AB18E5"/>
    <w:rsid w:val="00AB46C3"/>
    <w:rsid w:val="00AC4503"/>
    <w:rsid w:val="00AD5F5D"/>
    <w:rsid w:val="00AE2928"/>
    <w:rsid w:val="00AF0D76"/>
    <w:rsid w:val="00AF1752"/>
    <w:rsid w:val="00AF2B38"/>
    <w:rsid w:val="00AF4F03"/>
    <w:rsid w:val="00AF7A75"/>
    <w:rsid w:val="00B04FCA"/>
    <w:rsid w:val="00B1153F"/>
    <w:rsid w:val="00B11ECD"/>
    <w:rsid w:val="00B1304E"/>
    <w:rsid w:val="00B157E1"/>
    <w:rsid w:val="00B1764D"/>
    <w:rsid w:val="00B23737"/>
    <w:rsid w:val="00B25BF8"/>
    <w:rsid w:val="00B265C5"/>
    <w:rsid w:val="00B268E2"/>
    <w:rsid w:val="00B269F5"/>
    <w:rsid w:val="00B33BAE"/>
    <w:rsid w:val="00B355C4"/>
    <w:rsid w:val="00B53A4A"/>
    <w:rsid w:val="00B558E1"/>
    <w:rsid w:val="00B55EEA"/>
    <w:rsid w:val="00B57DD0"/>
    <w:rsid w:val="00B73BB7"/>
    <w:rsid w:val="00B748F0"/>
    <w:rsid w:val="00B80925"/>
    <w:rsid w:val="00B81428"/>
    <w:rsid w:val="00B82084"/>
    <w:rsid w:val="00B97CD6"/>
    <w:rsid w:val="00B97EE9"/>
    <w:rsid w:val="00BA0478"/>
    <w:rsid w:val="00BA0910"/>
    <w:rsid w:val="00BA4C6B"/>
    <w:rsid w:val="00BA4D12"/>
    <w:rsid w:val="00BB0B0C"/>
    <w:rsid w:val="00BB2CC1"/>
    <w:rsid w:val="00BC3485"/>
    <w:rsid w:val="00BC59B8"/>
    <w:rsid w:val="00BD7A8C"/>
    <w:rsid w:val="00C06D7A"/>
    <w:rsid w:val="00C11834"/>
    <w:rsid w:val="00C2226F"/>
    <w:rsid w:val="00C2428F"/>
    <w:rsid w:val="00C26823"/>
    <w:rsid w:val="00C26C83"/>
    <w:rsid w:val="00C3079C"/>
    <w:rsid w:val="00C51444"/>
    <w:rsid w:val="00C52187"/>
    <w:rsid w:val="00C52C5C"/>
    <w:rsid w:val="00C53A00"/>
    <w:rsid w:val="00C54324"/>
    <w:rsid w:val="00C55821"/>
    <w:rsid w:val="00C62AB6"/>
    <w:rsid w:val="00C673C7"/>
    <w:rsid w:val="00C71916"/>
    <w:rsid w:val="00C75598"/>
    <w:rsid w:val="00C75747"/>
    <w:rsid w:val="00C90342"/>
    <w:rsid w:val="00CA5DEC"/>
    <w:rsid w:val="00CA7D8C"/>
    <w:rsid w:val="00CB40DE"/>
    <w:rsid w:val="00CB6E98"/>
    <w:rsid w:val="00CC2656"/>
    <w:rsid w:val="00CC64FE"/>
    <w:rsid w:val="00CD2409"/>
    <w:rsid w:val="00CD31FB"/>
    <w:rsid w:val="00CD4791"/>
    <w:rsid w:val="00CD64CF"/>
    <w:rsid w:val="00CF16C8"/>
    <w:rsid w:val="00CF29F4"/>
    <w:rsid w:val="00CF3175"/>
    <w:rsid w:val="00CF3C19"/>
    <w:rsid w:val="00CF6BEE"/>
    <w:rsid w:val="00CF74A8"/>
    <w:rsid w:val="00D11F29"/>
    <w:rsid w:val="00D12CCD"/>
    <w:rsid w:val="00D14672"/>
    <w:rsid w:val="00D146A0"/>
    <w:rsid w:val="00D17DDF"/>
    <w:rsid w:val="00D17DFD"/>
    <w:rsid w:val="00D25192"/>
    <w:rsid w:val="00D40C02"/>
    <w:rsid w:val="00D438D6"/>
    <w:rsid w:val="00D471F2"/>
    <w:rsid w:val="00D47EE8"/>
    <w:rsid w:val="00D47F0F"/>
    <w:rsid w:val="00D52B8F"/>
    <w:rsid w:val="00D53E82"/>
    <w:rsid w:val="00D6513C"/>
    <w:rsid w:val="00D66A64"/>
    <w:rsid w:val="00D71524"/>
    <w:rsid w:val="00D71A42"/>
    <w:rsid w:val="00D72CEA"/>
    <w:rsid w:val="00D84DFC"/>
    <w:rsid w:val="00D865B2"/>
    <w:rsid w:val="00D86ED3"/>
    <w:rsid w:val="00D95414"/>
    <w:rsid w:val="00DA742B"/>
    <w:rsid w:val="00DC3C7D"/>
    <w:rsid w:val="00DC62BC"/>
    <w:rsid w:val="00DC6DB8"/>
    <w:rsid w:val="00DC76FD"/>
    <w:rsid w:val="00DD0B6C"/>
    <w:rsid w:val="00DD1893"/>
    <w:rsid w:val="00DD3D0E"/>
    <w:rsid w:val="00DE50A7"/>
    <w:rsid w:val="00DE72B7"/>
    <w:rsid w:val="00E0009D"/>
    <w:rsid w:val="00E007ED"/>
    <w:rsid w:val="00E129FC"/>
    <w:rsid w:val="00E12E7B"/>
    <w:rsid w:val="00E26465"/>
    <w:rsid w:val="00E357FA"/>
    <w:rsid w:val="00E45C8B"/>
    <w:rsid w:val="00E4773F"/>
    <w:rsid w:val="00E50421"/>
    <w:rsid w:val="00E656E2"/>
    <w:rsid w:val="00E6785B"/>
    <w:rsid w:val="00E72AC7"/>
    <w:rsid w:val="00E86D4E"/>
    <w:rsid w:val="00E95D63"/>
    <w:rsid w:val="00EA33C6"/>
    <w:rsid w:val="00EB631E"/>
    <w:rsid w:val="00EC047F"/>
    <w:rsid w:val="00EC2594"/>
    <w:rsid w:val="00EC4846"/>
    <w:rsid w:val="00EC7233"/>
    <w:rsid w:val="00ED06DD"/>
    <w:rsid w:val="00ED488D"/>
    <w:rsid w:val="00EE10AE"/>
    <w:rsid w:val="00EE7F23"/>
    <w:rsid w:val="00EF15D9"/>
    <w:rsid w:val="00EF47F1"/>
    <w:rsid w:val="00F00FC3"/>
    <w:rsid w:val="00F030C0"/>
    <w:rsid w:val="00F07CD9"/>
    <w:rsid w:val="00F1010D"/>
    <w:rsid w:val="00F152A5"/>
    <w:rsid w:val="00F152CF"/>
    <w:rsid w:val="00F22E9C"/>
    <w:rsid w:val="00F2392E"/>
    <w:rsid w:val="00F23F3D"/>
    <w:rsid w:val="00F26B0A"/>
    <w:rsid w:val="00F31D95"/>
    <w:rsid w:val="00F47240"/>
    <w:rsid w:val="00F657F0"/>
    <w:rsid w:val="00F66CE1"/>
    <w:rsid w:val="00F87952"/>
    <w:rsid w:val="00F95423"/>
    <w:rsid w:val="00F97671"/>
    <w:rsid w:val="00FA1A3E"/>
    <w:rsid w:val="00FA25BC"/>
    <w:rsid w:val="00FA263C"/>
    <w:rsid w:val="00FA4FB2"/>
    <w:rsid w:val="00FA539A"/>
    <w:rsid w:val="00FA6A30"/>
    <w:rsid w:val="00FB0C47"/>
    <w:rsid w:val="00FB32B2"/>
    <w:rsid w:val="00FB4515"/>
    <w:rsid w:val="00FB5253"/>
    <w:rsid w:val="00FB7793"/>
    <w:rsid w:val="00FD2C21"/>
    <w:rsid w:val="00FD443B"/>
    <w:rsid w:val="00FD4A1B"/>
    <w:rsid w:val="00FD713E"/>
    <w:rsid w:val="00FE354C"/>
    <w:rsid w:val="00FF5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66C06"/>
  <w15:chartTrackingRefBased/>
  <w15:docId w15:val="{BE141A60-84B1-4000-9A98-1BEA88662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0FDF"/>
    <w:pPr>
      <w:keepNext/>
      <w:keepLines/>
      <w:numPr>
        <w:numId w:val="2"/>
      </w:numPr>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1E63B7"/>
    <w:pPr>
      <w:keepNext/>
      <w:keepLines/>
      <w:numPr>
        <w:ilvl w:val="1"/>
        <w:numId w:val="2"/>
      </w:numPr>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1E63B7"/>
    <w:pPr>
      <w:keepNext/>
      <w:keepLines/>
      <w:numPr>
        <w:ilvl w:val="2"/>
        <w:numId w:val="2"/>
      </w:numPr>
      <w:spacing w:before="40" w:after="0"/>
      <w:outlineLvl w:val="2"/>
    </w:pPr>
    <w:rPr>
      <w:rFonts w:eastAsiaTheme="majorEastAsia" w:cstheme="majorBidi"/>
      <w:b/>
      <w:szCs w:val="24"/>
    </w:rPr>
  </w:style>
  <w:style w:type="paragraph" w:styleId="Heading4">
    <w:name w:val="heading 4"/>
    <w:basedOn w:val="Normal"/>
    <w:next w:val="Normal"/>
    <w:link w:val="Heading4Char"/>
    <w:uiPriority w:val="9"/>
    <w:semiHidden/>
    <w:unhideWhenUsed/>
    <w:qFormat/>
    <w:rsid w:val="00032C69"/>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32C69"/>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qFormat/>
    <w:rsid w:val="00EC047F"/>
    <w:pPr>
      <w:keepNext/>
      <w:numPr>
        <w:ilvl w:val="5"/>
        <w:numId w:val="2"/>
      </w:numPr>
      <w:spacing w:after="0" w:line="240" w:lineRule="auto"/>
      <w:jc w:val="center"/>
      <w:outlineLvl w:val="5"/>
    </w:pPr>
    <w:rPr>
      <w:rFonts w:ascii="Times New Roman" w:eastAsia="Times New Roman" w:hAnsi="Times New Roman" w:cs="Times New Roman"/>
      <w:b/>
      <w:bCs/>
      <w:sz w:val="28"/>
      <w:szCs w:val="20"/>
    </w:rPr>
  </w:style>
  <w:style w:type="paragraph" w:styleId="Heading7">
    <w:name w:val="heading 7"/>
    <w:basedOn w:val="Normal"/>
    <w:next w:val="Normal"/>
    <w:link w:val="Heading7Char"/>
    <w:uiPriority w:val="9"/>
    <w:semiHidden/>
    <w:unhideWhenUsed/>
    <w:qFormat/>
    <w:rsid w:val="00032C69"/>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32C69"/>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32C69"/>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C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CB0"/>
  </w:style>
  <w:style w:type="paragraph" w:styleId="Footer">
    <w:name w:val="footer"/>
    <w:basedOn w:val="Normal"/>
    <w:link w:val="FooterChar"/>
    <w:uiPriority w:val="99"/>
    <w:unhideWhenUsed/>
    <w:rsid w:val="005E7C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CB0"/>
  </w:style>
  <w:style w:type="paragraph" w:customStyle="1" w:styleId="Default">
    <w:name w:val="Default"/>
    <w:rsid w:val="00D47F0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D47F0F"/>
    <w:pPr>
      <w:spacing w:after="0" w:line="240" w:lineRule="auto"/>
    </w:pPr>
  </w:style>
  <w:style w:type="paragraph" w:styleId="BalloonText">
    <w:name w:val="Balloon Text"/>
    <w:basedOn w:val="Normal"/>
    <w:link w:val="BalloonTextChar"/>
    <w:uiPriority w:val="99"/>
    <w:semiHidden/>
    <w:unhideWhenUsed/>
    <w:rsid w:val="002758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8C6"/>
    <w:rPr>
      <w:rFonts w:ascii="Segoe UI" w:hAnsi="Segoe UI" w:cs="Segoe UI"/>
      <w:sz w:val="18"/>
      <w:szCs w:val="18"/>
    </w:rPr>
  </w:style>
  <w:style w:type="paragraph" w:styleId="ListParagraph">
    <w:name w:val="List Paragraph"/>
    <w:basedOn w:val="Normal"/>
    <w:uiPriority w:val="34"/>
    <w:qFormat/>
    <w:rsid w:val="000D1236"/>
    <w:pPr>
      <w:ind w:left="720"/>
      <w:contextualSpacing/>
    </w:pPr>
  </w:style>
  <w:style w:type="character" w:customStyle="1" w:styleId="Heading6Char">
    <w:name w:val="Heading 6 Char"/>
    <w:basedOn w:val="DefaultParagraphFont"/>
    <w:link w:val="Heading6"/>
    <w:rsid w:val="00EC047F"/>
    <w:rPr>
      <w:rFonts w:ascii="Times New Roman" w:eastAsia="Times New Roman" w:hAnsi="Times New Roman" w:cs="Times New Roman"/>
      <w:b/>
      <w:bCs/>
      <w:sz w:val="28"/>
      <w:szCs w:val="20"/>
    </w:rPr>
  </w:style>
  <w:style w:type="character" w:styleId="Hyperlink">
    <w:name w:val="Hyperlink"/>
    <w:basedOn w:val="DefaultParagraphFont"/>
    <w:uiPriority w:val="99"/>
    <w:unhideWhenUsed/>
    <w:rsid w:val="00EC047F"/>
    <w:rPr>
      <w:color w:val="0563C1" w:themeColor="hyperlink"/>
      <w:u w:val="single"/>
    </w:rPr>
  </w:style>
  <w:style w:type="paragraph" w:styleId="BodyText2">
    <w:name w:val="Body Text 2"/>
    <w:basedOn w:val="Normal"/>
    <w:link w:val="BodyText2Char"/>
    <w:rsid w:val="00EC047F"/>
    <w:pP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EC047F"/>
    <w:rPr>
      <w:rFonts w:ascii="Times New Roman" w:eastAsia="Times New Roman" w:hAnsi="Times New Roman" w:cs="Times New Roman"/>
      <w:sz w:val="24"/>
      <w:szCs w:val="20"/>
    </w:rPr>
  </w:style>
  <w:style w:type="table" w:styleId="TableGrid">
    <w:name w:val="Table Grid"/>
    <w:basedOn w:val="TableNormal"/>
    <w:uiPriority w:val="39"/>
    <w:rsid w:val="00EC0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C047F"/>
    <w:rPr>
      <w:color w:val="954F72" w:themeColor="followedHyperlink"/>
      <w:u w:val="single"/>
    </w:rPr>
  </w:style>
  <w:style w:type="paragraph" w:styleId="FootnoteText">
    <w:name w:val="footnote text"/>
    <w:basedOn w:val="Normal"/>
    <w:link w:val="FootnoteTextChar"/>
    <w:uiPriority w:val="99"/>
    <w:semiHidden/>
    <w:unhideWhenUsed/>
    <w:rsid w:val="00EC04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047F"/>
    <w:rPr>
      <w:sz w:val="20"/>
      <w:szCs w:val="20"/>
    </w:rPr>
  </w:style>
  <w:style w:type="character" w:styleId="FootnoteReference">
    <w:name w:val="footnote reference"/>
    <w:basedOn w:val="DefaultParagraphFont"/>
    <w:uiPriority w:val="99"/>
    <w:semiHidden/>
    <w:unhideWhenUsed/>
    <w:rsid w:val="00EC047F"/>
    <w:rPr>
      <w:vertAlign w:val="superscript"/>
    </w:rPr>
  </w:style>
  <w:style w:type="paragraph" w:styleId="NormalWeb">
    <w:name w:val="Normal (Web)"/>
    <w:basedOn w:val="Normal"/>
    <w:uiPriority w:val="99"/>
    <w:semiHidden/>
    <w:unhideWhenUsed/>
    <w:rsid w:val="00EC047F"/>
    <w:pPr>
      <w:spacing w:before="100" w:beforeAutospacing="1" w:after="100" w:afterAutospacing="1" w:line="240" w:lineRule="auto"/>
    </w:pPr>
    <w:rPr>
      <w:rFonts w:ascii="Times New Roman" w:eastAsiaTheme="minorEastAsia" w:hAnsi="Times New Roman" w:cs="Times New Roman"/>
      <w:sz w:val="24"/>
      <w:szCs w:val="24"/>
    </w:rPr>
  </w:style>
  <w:style w:type="character" w:styleId="PageNumber">
    <w:name w:val="page number"/>
    <w:basedOn w:val="DefaultParagraphFont"/>
    <w:rsid w:val="00EC047F"/>
  </w:style>
  <w:style w:type="character" w:styleId="CommentReference">
    <w:name w:val="annotation reference"/>
    <w:basedOn w:val="DefaultParagraphFont"/>
    <w:uiPriority w:val="99"/>
    <w:semiHidden/>
    <w:unhideWhenUsed/>
    <w:rsid w:val="00EC047F"/>
    <w:rPr>
      <w:sz w:val="16"/>
      <w:szCs w:val="16"/>
    </w:rPr>
  </w:style>
  <w:style w:type="paragraph" w:styleId="CommentText">
    <w:name w:val="annotation text"/>
    <w:basedOn w:val="Normal"/>
    <w:link w:val="CommentTextChar"/>
    <w:uiPriority w:val="99"/>
    <w:unhideWhenUsed/>
    <w:rsid w:val="00EC047F"/>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rsid w:val="00EC047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C047F"/>
    <w:rPr>
      <w:b/>
      <w:bCs/>
    </w:rPr>
  </w:style>
  <w:style w:type="character" w:customStyle="1" w:styleId="CommentSubjectChar">
    <w:name w:val="Comment Subject Char"/>
    <w:basedOn w:val="CommentTextChar"/>
    <w:link w:val="CommentSubject"/>
    <w:uiPriority w:val="99"/>
    <w:semiHidden/>
    <w:rsid w:val="00EC047F"/>
    <w:rPr>
      <w:rFonts w:ascii="Times New Roman" w:hAnsi="Times New Roman" w:cs="Times New Roman"/>
      <w:b/>
      <w:bCs/>
      <w:sz w:val="20"/>
      <w:szCs w:val="20"/>
    </w:rPr>
  </w:style>
  <w:style w:type="paragraph" w:styleId="Revision">
    <w:name w:val="Revision"/>
    <w:hidden/>
    <w:uiPriority w:val="99"/>
    <w:semiHidden/>
    <w:rsid w:val="00EC047F"/>
    <w:pPr>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560FDF"/>
    <w:rPr>
      <w:rFonts w:eastAsiaTheme="majorEastAsia" w:cstheme="majorBidi"/>
      <w:b/>
      <w:szCs w:val="32"/>
    </w:rPr>
  </w:style>
  <w:style w:type="character" w:customStyle="1" w:styleId="Heading2Char">
    <w:name w:val="Heading 2 Char"/>
    <w:basedOn w:val="DefaultParagraphFont"/>
    <w:link w:val="Heading2"/>
    <w:uiPriority w:val="9"/>
    <w:rsid w:val="001E63B7"/>
    <w:rPr>
      <w:rFonts w:eastAsiaTheme="majorEastAsia" w:cstheme="majorBidi"/>
      <w:b/>
      <w:szCs w:val="26"/>
    </w:rPr>
  </w:style>
  <w:style w:type="character" w:customStyle="1" w:styleId="Heading3Char">
    <w:name w:val="Heading 3 Char"/>
    <w:basedOn w:val="DefaultParagraphFont"/>
    <w:link w:val="Heading3"/>
    <w:uiPriority w:val="9"/>
    <w:rsid w:val="001E63B7"/>
    <w:rPr>
      <w:rFonts w:eastAsiaTheme="majorEastAsia" w:cstheme="majorBidi"/>
      <w:b/>
      <w:szCs w:val="24"/>
    </w:rPr>
  </w:style>
  <w:style w:type="character" w:customStyle="1" w:styleId="Heading4Char">
    <w:name w:val="Heading 4 Char"/>
    <w:basedOn w:val="DefaultParagraphFont"/>
    <w:link w:val="Heading4"/>
    <w:uiPriority w:val="9"/>
    <w:semiHidden/>
    <w:rsid w:val="00032C6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32C69"/>
    <w:rPr>
      <w:rFonts w:asciiTheme="majorHAnsi" w:eastAsiaTheme="majorEastAsia" w:hAnsiTheme="majorHAnsi" w:cstheme="majorBidi"/>
      <w:color w:val="2F5496" w:themeColor="accent1" w:themeShade="BF"/>
    </w:rPr>
  </w:style>
  <w:style w:type="character" w:customStyle="1" w:styleId="Heading7Char">
    <w:name w:val="Heading 7 Char"/>
    <w:basedOn w:val="DefaultParagraphFont"/>
    <w:link w:val="Heading7"/>
    <w:uiPriority w:val="9"/>
    <w:semiHidden/>
    <w:rsid w:val="00032C6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032C6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32C69"/>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uiPriority w:val="99"/>
    <w:semiHidden/>
    <w:unhideWhenUsed/>
    <w:rsid w:val="00FA6A30"/>
    <w:pPr>
      <w:spacing w:after="120"/>
    </w:pPr>
  </w:style>
  <w:style w:type="character" w:customStyle="1" w:styleId="BodyTextChar">
    <w:name w:val="Body Text Char"/>
    <w:basedOn w:val="DefaultParagraphFont"/>
    <w:link w:val="BodyText"/>
    <w:uiPriority w:val="99"/>
    <w:semiHidden/>
    <w:rsid w:val="00FA6A30"/>
  </w:style>
  <w:style w:type="character" w:styleId="UnresolvedMention">
    <w:name w:val="Unresolved Mention"/>
    <w:basedOn w:val="DefaultParagraphFont"/>
    <w:uiPriority w:val="99"/>
    <w:semiHidden/>
    <w:unhideWhenUsed/>
    <w:rsid w:val="0079606A"/>
    <w:rPr>
      <w:color w:val="605E5C"/>
      <w:shd w:val="clear" w:color="auto" w:fill="E1DFDD"/>
    </w:rPr>
  </w:style>
  <w:style w:type="table" w:customStyle="1" w:styleId="TableGrid1">
    <w:name w:val="Table Grid1"/>
    <w:basedOn w:val="TableNormal"/>
    <w:next w:val="TableGrid"/>
    <w:uiPriority w:val="39"/>
    <w:rsid w:val="00811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60FDF"/>
    <w:pPr>
      <w:spacing w:after="0" w:line="240" w:lineRule="auto"/>
      <w:contextualSpacing/>
    </w:pPr>
    <w:rPr>
      <w:rFonts w:eastAsiaTheme="majorEastAsia" w:cstheme="majorBidi"/>
      <w:b/>
      <w:spacing w:val="-10"/>
      <w:kern w:val="28"/>
      <w:sz w:val="72"/>
      <w:szCs w:val="56"/>
    </w:rPr>
  </w:style>
  <w:style w:type="character" w:customStyle="1" w:styleId="TitleChar">
    <w:name w:val="Title Char"/>
    <w:basedOn w:val="DefaultParagraphFont"/>
    <w:link w:val="Title"/>
    <w:uiPriority w:val="10"/>
    <w:rsid w:val="00560FDF"/>
    <w:rPr>
      <w:rFonts w:eastAsiaTheme="majorEastAsia" w:cstheme="majorBidi"/>
      <w:b/>
      <w:spacing w:val="-10"/>
      <w:kern w:val="28"/>
      <w:sz w:val="72"/>
      <w:szCs w:val="56"/>
    </w:rPr>
  </w:style>
  <w:style w:type="character" w:styleId="Emphasis">
    <w:name w:val="Emphasis"/>
    <w:basedOn w:val="DefaultParagraphFont"/>
    <w:uiPriority w:val="20"/>
    <w:qFormat/>
    <w:rsid w:val="009141D7"/>
    <w:rPr>
      <w:i/>
      <w:iCs/>
    </w:rPr>
  </w:style>
  <w:style w:type="paragraph" w:styleId="Subtitle">
    <w:name w:val="Subtitle"/>
    <w:basedOn w:val="Normal"/>
    <w:next w:val="Normal"/>
    <w:link w:val="SubtitleChar"/>
    <w:uiPriority w:val="11"/>
    <w:qFormat/>
    <w:rsid w:val="00E656E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656E2"/>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6503">
      <w:bodyDiv w:val="1"/>
      <w:marLeft w:val="0"/>
      <w:marRight w:val="0"/>
      <w:marTop w:val="0"/>
      <w:marBottom w:val="0"/>
      <w:divBdr>
        <w:top w:val="none" w:sz="0" w:space="0" w:color="auto"/>
        <w:left w:val="none" w:sz="0" w:space="0" w:color="auto"/>
        <w:bottom w:val="none" w:sz="0" w:space="0" w:color="auto"/>
        <w:right w:val="none" w:sz="0" w:space="0" w:color="auto"/>
      </w:divBdr>
    </w:div>
    <w:div w:id="127631154">
      <w:bodyDiv w:val="1"/>
      <w:marLeft w:val="0"/>
      <w:marRight w:val="0"/>
      <w:marTop w:val="0"/>
      <w:marBottom w:val="0"/>
      <w:divBdr>
        <w:top w:val="none" w:sz="0" w:space="0" w:color="auto"/>
        <w:left w:val="none" w:sz="0" w:space="0" w:color="auto"/>
        <w:bottom w:val="none" w:sz="0" w:space="0" w:color="auto"/>
        <w:right w:val="none" w:sz="0" w:space="0" w:color="auto"/>
      </w:divBdr>
    </w:div>
    <w:div w:id="587810409">
      <w:bodyDiv w:val="1"/>
      <w:marLeft w:val="0"/>
      <w:marRight w:val="0"/>
      <w:marTop w:val="0"/>
      <w:marBottom w:val="0"/>
      <w:divBdr>
        <w:top w:val="none" w:sz="0" w:space="0" w:color="auto"/>
        <w:left w:val="none" w:sz="0" w:space="0" w:color="auto"/>
        <w:bottom w:val="none" w:sz="0" w:space="0" w:color="auto"/>
        <w:right w:val="none" w:sz="0" w:space="0" w:color="auto"/>
      </w:divBdr>
    </w:div>
    <w:div w:id="813331259">
      <w:bodyDiv w:val="1"/>
      <w:marLeft w:val="0"/>
      <w:marRight w:val="0"/>
      <w:marTop w:val="0"/>
      <w:marBottom w:val="0"/>
      <w:divBdr>
        <w:top w:val="none" w:sz="0" w:space="0" w:color="auto"/>
        <w:left w:val="none" w:sz="0" w:space="0" w:color="auto"/>
        <w:bottom w:val="none" w:sz="0" w:space="0" w:color="auto"/>
        <w:right w:val="none" w:sz="0" w:space="0" w:color="auto"/>
      </w:divBdr>
    </w:div>
    <w:div w:id="831483193">
      <w:bodyDiv w:val="1"/>
      <w:marLeft w:val="0"/>
      <w:marRight w:val="0"/>
      <w:marTop w:val="0"/>
      <w:marBottom w:val="0"/>
      <w:divBdr>
        <w:top w:val="none" w:sz="0" w:space="0" w:color="auto"/>
        <w:left w:val="none" w:sz="0" w:space="0" w:color="auto"/>
        <w:bottom w:val="none" w:sz="0" w:space="0" w:color="auto"/>
        <w:right w:val="none" w:sz="0" w:space="0" w:color="auto"/>
      </w:divBdr>
    </w:div>
    <w:div w:id="1354915767">
      <w:bodyDiv w:val="1"/>
      <w:marLeft w:val="0"/>
      <w:marRight w:val="0"/>
      <w:marTop w:val="0"/>
      <w:marBottom w:val="0"/>
      <w:divBdr>
        <w:top w:val="none" w:sz="0" w:space="0" w:color="auto"/>
        <w:left w:val="none" w:sz="0" w:space="0" w:color="auto"/>
        <w:bottom w:val="none" w:sz="0" w:space="0" w:color="auto"/>
        <w:right w:val="none" w:sz="0" w:space="0" w:color="auto"/>
      </w:divBdr>
    </w:div>
    <w:div w:id="168593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oklahomaworks.gov/wp-content/uploads/2019/05/OWDI-02-2019_Data-Validation_Combined.pdf" TargetMode="External"/><Relationship Id="rId26" Type="http://schemas.openxmlformats.org/officeDocument/2006/relationships/hyperlink" Target="https://oklahomaworks.gov/local-workforce-boards/wioa-policy-center/" TargetMode="External"/><Relationship Id="rId3" Type="http://schemas.openxmlformats.org/officeDocument/2006/relationships/styles" Target="styles.xml"/><Relationship Id="rId21" Type="http://schemas.openxmlformats.org/officeDocument/2006/relationships/hyperlink" Target="https://oklahomaworks.gov/wp-content/uploads/2018/06/OWDI-19-2017-CHANGE-1-Adult-Dislocated-Worker-Programs.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oklahomarelay.com/711.html" TargetMode="External"/><Relationship Id="rId25" Type="http://schemas.openxmlformats.org/officeDocument/2006/relationships/hyperlink" Target="https://oklahomaworks.gov/local-workforce-boards/wioa-policy-center/" TargetMode="Externa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ferris.barger@okcommerce.gov" TargetMode="External"/><Relationship Id="rId20" Type="http://schemas.openxmlformats.org/officeDocument/2006/relationships/hyperlink" Target="https://www.dol.gov/whd/flsa/" TargetMode="External"/><Relationship Id="rId29" Type="http://schemas.openxmlformats.org/officeDocument/2006/relationships/hyperlink" Target="mailto:eoofficer@okcommerce.gov%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oklahomaworks.gov/local-workforce-boards/wioa-policy-center/"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jeremy.frutchey@northeastworkforceboard.com%20" TargetMode="External"/><Relationship Id="rId23" Type="http://schemas.openxmlformats.org/officeDocument/2006/relationships/hyperlink" Target="https://oklahomaworks.gov/wp-content/uploads/2019/09/OWDI-09-2017-Change-2-WIOA-Core-Performance-Measures-Policy.pdf" TargetMode="External"/><Relationship Id="rId28" Type="http://schemas.openxmlformats.org/officeDocument/2006/relationships/hyperlink" Target="mailto:Ferris.barger@okcommerce.gov" TargetMode="External"/><Relationship Id="rId10" Type="http://schemas.openxmlformats.org/officeDocument/2006/relationships/image" Target="media/image2.png"/><Relationship Id="rId19" Type="http://schemas.openxmlformats.org/officeDocument/2006/relationships/hyperlink" Target="https://www.sss.gov" TargetMode="Externa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law.cornell.edu/definitions/index.php?width=840&amp;amp;height=800&amp;amp;iframe=true&amp;amp;def_id=5814e48524e23b3549a88bcae9486b1d&amp;amp;term_occur=1&amp;amp;term_src=Title%3A29%3ASubtitle%3AA%3APart%3A38%3ASubpart%3AA%3A38.5" TargetMode="External"/><Relationship Id="rId14" Type="http://schemas.openxmlformats.org/officeDocument/2006/relationships/footer" Target="footer2.xml"/><Relationship Id="rId22" Type="http://schemas.openxmlformats.org/officeDocument/2006/relationships/hyperlink" Target="https://oklahomaworks.gov/local-workforce-boards/wioa-policy-center/" TargetMode="External"/><Relationship Id="rId27" Type="http://schemas.openxmlformats.org/officeDocument/2006/relationships/hyperlink" Target="mailto:jeremy.frutchey@northeastworkforceboard.com" TargetMode="External"/><Relationship Id="rId30" Type="http://schemas.openxmlformats.org/officeDocument/2006/relationships/hyperlink" Target="http://www.oklahomarelay.com/711.html"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5BDEE-899F-4987-9234-725B69D3A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9477</Words>
  <Characters>54022</Characters>
  <Application>Microsoft Office Word</Application>
  <DocSecurity>10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Lorri</dc:creator>
  <cp:keywords/>
  <dc:description/>
  <cp:lastModifiedBy>Michelle</cp:lastModifiedBy>
  <cp:revision>2</cp:revision>
  <cp:lastPrinted>2018-11-05T02:49:00Z</cp:lastPrinted>
  <dcterms:created xsi:type="dcterms:W3CDTF">2020-04-15T12:42:00Z</dcterms:created>
  <dcterms:modified xsi:type="dcterms:W3CDTF">2020-04-15T12:42:00Z</dcterms:modified>
</cp:coreProperties>
</file>